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FF2B" w14:textId="5522553C" w:rsidR="00E33639" w:rsidRDefault="00EC27E0" w:rsidP="00402EFE">
      <w:bookmarkStart w:id="0" w:name="_Hlk485314994"/>
      <w:bookmarkStart w:id="1" w:name="_Hlk491867533"/>
      <w:bookmarkEnd w:id="0"/>
      <w:r>
        <w:rPr>
          <w:noProof/>
          <w:lang w:eastAsia="fr-FR"/>
        </w:rPr>
        <w:drawing>
          <wp:inline distT="0" distB="0" distL="0" distR="0" wp14:anchorId="6A087CF2" wp14:editId="62AE512A">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tab/>
      </w:r>
      <w:r w:rsidR="0057442E">
        <w:tab/>
      </w:r>
      <w:r w:rsidR="0057442E">
        <w:tab/>
      </w:r>
      <w:r w:rsidR="00AF76ED">
        <w:tab/>
      </w:r>
      <w:r w:rsidR="001901F1">
        <w:tab/>
      </w:r>
      <w:r w:rsidR="00E33639" w:rsidRPr="00E33639">
        <w:rPr>
          <w:color w:val="A81815"/>
        </w:rPr>
        <w:t>(</w:t>
      </w:r>
      <w:r w:rsidR="00E33639" w:rsidRPr="008F1307">
        <w:rPr>
          <w:color w:val="A81815"/>
        </w:rPr>
        <w:t xml:space="preserve">Mise </w:t>
      </w:r>
      <w:r w:rsidR="00E33639" w:rsidRPr="00E33639">
        <w:rPr>
          <w:color w:val="A81815"/>
        </w:rPr>
        <w:t xml:space="preserve">à </w:t>
      </w:r>
      <w:r w:rsidR="00E33639" w:rsidRPr="008F1307">
        <w:rPr>
          <w:color w:val="A81815"/>
        </w:rPr>
        <w:t>jour</w:t>
      </w:r>
      <w:r w:rsidR="00E33639" w:rsidRPr="00E33639">
        <w:rPr>
          <w:color w:val="A81815"/>
        </w:rPr>
        <w:t>)</w:t>
      </w:r>
      <w:r w:rsidR="00E33639">
        <w:rPr>
          <w:color w:val="114D61"/>
        </w:rPr>
        <w:t xml:space="preserve"> </w:t>
      </w:r>
      <w:r w:rsidR="00402EFE">
        <w:rPr>
          <w:color w:val="114D61"/>
        </w:rPr>
        <w:t>Vendredi</w:t>
      </w:r>
      <w:r w:rsidR="00E33639">
        <w:rPr>
          <w:color w:val="114D61"/>
        </w:rPr>
        <w:t xml:space="preserve"> </w:t>
      </w:r>
      <w:r w:rsidR="00402EFE">
        <w:rPr>
          <w:color w:val="114D61"/>
        </w:rPr>
        <w:t>4</w:t>
      </w:r>
      <w:r w:rsidR="00E33639">
        <w:rPr>
          <w:color w:val="114D61"/>
        </w:rPr>
        <w:t xml:space="preserve"> </w:t>
      </w:r>
      <w:r w:rsidR="00402EFE">
        <w:rPr>
          <w:color w:val="114D61"/>
        </w:rPr>
        <w:t>juin</w:t>
      </w:r>
      <w:r w:rsidR="00E33639">
        <w:rPr>
          <w:color w:val="114D61"/>
        </w:rPr>
        <w:t xml:space="preserve"> 2021</w:t>
      </w:r>
    </w:p>
    <w:p w14:paraId="53BAAF05" w14:textId="77777777" w:rsidR="00412AED" w:rsidRPr="00650480" w:rsidRDefault="002B44DD" w:rsidP="00D45B6C">
      <w:pPr>
        <w:rPr>
          <w:rFonts w:ascii="Verdana" w:hAnsi="Verdana" w:cstheme="minorHAnsi"/>
          <w:u w:val="single"/>
        </w:rPr>
      </w:pPr>
      <w:r>
        <w:rPr>
          <w:noProof/>
        </w:rPr>
        <mc:AlternateContent>
          <mc:Choice Requires="wps">
            <w:drawing>
              <wp:anchor distT="0" distB="0" distL="114300" distR="114300" simplePos="0" relativeHeight="251663360" behindDoc="0" locked="0" layoutInCell="1" allowOverlap="1" wp14:anchorId="546C9EC2" wp14:editId="37CB4ED1">
                <wp:simplePos x="0" y="0"/>
                <wp:positionH relativeFrom="margin">
                  <wp:posOffset>-942128</wp:posOffset>
                </wp:positionH>
                <wp:positionV relativeFrom="paragraph">
                  <wp:posOffset>408728</wp:posOffset>
                </wp:positionV>
                <wp:extent cx="7145866" cy="1409700"/>
                <wp:effectExtent l="0" t="0" r="17145" b="19050"/>
                <wp:wrapNone/>
                <wp:docPr id="7" name="Rectangle 7"/>
                <wp:cNvGraphicFramePr/>
                <a:graphic xmlns:a="http://schemas.openxmlformats.org/drawingml/2006/main">
                  <a:graphicData uri="http://schemas.microsoft.com/office/word/2010/wordprocessingShape">
                    <wps:wsp>
                      <wps:cNvSpPr/>
                      <wps:spPr>
                        <a:xfrm>
                          <a:off x="0" y="0"/>
                          <a:ext cx="7145866" cy="1409700"/>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74521A35" w:rsidR="002B44DD" w:rsidRPr="000649FD" w:rsidRDefault="00B31790" w:rsidP="00643D44">
                            <w:pPr>
                              <w:ind w:left="708" w:right="761"/>
                              <w:rPr>
                                <w:sz w:val="48"/>
                                <w:szCs w:val="48"/>
                              </w:rPr>
                            </w:pPr>
                            <w:r>
                              <w:rPr>
                                <w:sz w:val="40"/>
                                <w:szCs w:val="40"/>
                              </w:rPr>
                              <w:t>AIDES COVID 2</w:t>
                            </w:r>
                            <w:r w:rsidR="00B97F0E">
                              <w:rPr>
                                <w:sz w:val="40"/>
                                <w:szCs w:val="40"/>
                              </w:rPr>
                              <w:t xml:space="preserve"> </w:t>
                            </w:r>
                            <w:r w:rsidR="000E7DE4" w:rsidRPr="00B61B64">
                              <w:rPr>
                                <w:caps/>
                                <w:sz w:val="40"/>
                                <w:szCs w:val="40"/>
                              </w:rPr>
                              <w:t>sur</w:t>
                            </w:r>
                            <w:r w:rsidR="00B61B64" w:rsidRPr="00B61B64">
                              <w:rPr>
                                <w:caps/>
                                <w:sz w:val="40"/>
                                <w:szCs w:val="40"/>
                              </w:rPr>
                              <w:t xml:space="preserve"> les</w:t>
                            </w:r>
                            <w:r w:rsidR="00B61B64">
                              <w:rPr>
                                <w:sz w:val="40"/>
                                <w:szCs w:val="40"/>
                              </w:rPr>
                              <w:t xml:space="preserve"> </w:t>
                            </w:r>
                            <w:r w:rsidR="00B97F0E">
                              <w:rPr>
                                <w:sz w:val="40"/>
                                <w:szCs w:val="40"/>
                              </w:rPr>
                              <w:t xml:space="preserve">CHARGES SOCIALES </w:t>
                            </w:r>
                            <w:r w:rsidR="00B97F0E" w:rsidRPr="00B61B64">
                              <w:rPr>
                                <w:sz w:val="32"/>
                                <w:szCs w:val="32"/>
                              </w:rPr>
                              <w:t xml:space="preserve">(EXONERATION, AIDE AU PAIEMENT ET PLANS D’APUREMENT) – </w:t>
                            </w:r>
                            <w:r w:rsidR="00B97F0E" w:rsidRPr="000649FD">
                              <w:rPr>
                                <w:sz w:val="40"/>
                                <w:szCs w:val="40"/>
                              </w:rPr>
                              <w:t xml:space="preserve">VERSION LFSS 2021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left:0;text-align:left;margin-left:-74.2pt;margin-top:32.2pt;width:562.65pt;height:11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" fillcolor="#114d61" strokecolor="#1f3763 [1604]" strokeweight="1pt">
                <v:textbox>
                  <w:txbxContent>
                    <w:p w14:paraId="221222BC" w14:textId="74521A35" w:rsidR="002B44DD" w:rsidRPr="000649FD" w:rsidRDefault="00B31790" w:rsidP="00643D44">
                      <w:pPr>
                        <w:ind w:left="708" w:right="761"/>
                        <w:rPr>
                          <w:sz w:val="48"/>
                          <w:szCs w:val="48"/>
                        </w:rPr>
                      </w:pPr>
                      <w:r>
                        <w:rPr>
                          <w:sz w:val="40"/>
                          <w:szCs w:val="40"/>
                        </w:rPr>
                        <w:t>AIDES COVID 2</w:t>
                      </w:r>
                      <w:r w:rsidR="00B97F0E">
                        <w:rPr>
                          <w:sz w:val="40"/>
                          <w:szCs w:val="40"/>
                        </w:rPr>
                        <w:t xml:space="preserve"> </w:t>
                      </w:r>
                      <w:r w:rsidR="000E7DE4" w:rsidRPr="00B61B64">
                        <w:rPr>
                          <w:caps/>
                          <w:sz w:val="40"/>
                          <w:szCs w:val="40"/>
                        </w:rPr>
                        <w:t>sur</w:t>
                      </w:r>
                      <w:r w:rsidR="00B61B64" w:rsidRPr="00B61B64">
                        <w:rPr>
                          <w:caps/>
                          <w:sz w:val="40"/>
                          <w:szCs w:val="40"/>
                        </w:rPr>
                        <w:t xml:space="preserve"> les</w:t>
                      </w:r>
                      <w:r w:rsidR="00B61B64">
                        <w:rPr>
                          <w:sz w:val="40"/>
                          <w:szCs w:val="40"/>
                        </w:rPr>
                        <w:t xml:space="preserve"> </w:t>
                      </w:r>
                      <w:r w:rsidR="00B97F0E">
                        <w:rPr>
                          <w:sz w:val="40"/>
                          <w:szCs w:val="40"/>
                        </w:rPr>
                        <w:t xml:space="preserve">CHARGES SOCIALES </w:t>
                      </w:r>
                      <w:r w:rsidR="00B97F0E" w:rsidRPr="00B61B64">
                        <w:rPr>
                          <w:sz w:val="32"/>
                          <w:szCs w:val="32"/>
                        </w:rPr>
                        <w:t xml:space="preserve">(EXONERATION, AIDE AU PAIEMENT ET PLANS D’APUREMENT) – </w:t>
                      </w:r>
                      <w:r w:rsidR="00B97F0E" w:rsidRPr="000649FD">
                        <w:rPr>
                          <w:sz w:val="40"/>
                          <w:szCs w:val="40"/>
                        </w:rPr>
                        <w:t xml:space="preserve">VERSION LFSS 2021 </w:t>
                      </w:r>
                    </w:p>
                  </w:txbxContent>
                </v:textbox>
                <w10:wrap anchorx="margin"/>
              </v:rect>
            </w:pict>
          </mc:Fallback>
        </mc:AlternateContent>
      </w:r>
      <w:r w:rsidR="00EC27E0">
        <w:br/>
      </w:r>
    </w:p>
    <w:p w14:paraId="3BD93C3E" w14:textId="77777777" w:rsidR="00412AED" w:rsidRDefault="00412AED" w:rsidP="00D45B6C">
      <w:pPr>
        <w:spacing w:line="276" w:lineRule="auto"/>
        <w:rPr>
          <w:rFonts w:ascii="Verdana" w:hAnsi="Verdana" w:cstheme="minorHAnsi"/>
          <w:sz w:val="20"/>
          <w:szCs w:val="20"/>
        </w:rPr>
      </w:pPr>
    </w:p>
    <w:p w14:paraId="17E8DFCE" w14:textId="77777777" w:rsidR="002B44DD" w:rsidRDefault="002B44DD" w:rsidP="00D45B6C">
      <w:pPr>
        <w:spacing w:line="276" w:lineRule="auto"/>
        <w:rPr>
          <w:rFonts w:ascii="Verdana" w:hAnsi="Verdana" w:cstheme="minorHAnsi"/>
          <w:sz w:val="20"/>
          <w:szCs w:val="20"/>
        </w:rPr>
      </w:pPr>
      <w:r>
        <w:rPr>
          <w:rFonts w:ascii="Verdana" w:hAnsi="Verdana" w:cstheme="minorHAnsi"/>
          <w:sz w:val="20"/>
          <w:szCs w:val="20"/>
        </w:rPr>
        <w:t xml:space="preserve">Titre </w:t>
      </w:r>
    </w:p>
    <w:p w14:paraId="5BDEAE09" w14:textId="77777777" w:rsidR="002B44DD" w:rsidRDefault="00AE1AE7" w:rsidP="00D45B6C">
      <w:pPr>
        <w:spacing w:after="0" w:line="240" w:lineRule="auto"/>
        <w:rPr>
          <w:rFonts w:ascii="Avenir LT Std 65 Medium" w:hAnsi="Avenir LT Std 65 Medium" w:cstheme="minorHAnsi"/>
          <w:color w:val="114D61"/>
        </w:rPr>
      </w:pPr>
      <w:r>
        <w:rPr>
          <w:rFonts w:ascii="Avenir LT Std 65 Medium" w:hAnsi="Avenir LT Std 65 Medium" w:cstheme="minorHAnsi"/>
          <w:color w:val="002060"/>
        </w:rPr>
        <w:br/>
      </w:r>
    </w:p>
    <w:p w14:paraId="6948589A" w14:textId="77777777" w:rsidR="002B44DD" w:rsidRDefault="002B44DD" w:rsidP="00D45B6C">
      <w:pPr>
        <w:spacing w:after="0" w:line="240" w:lineRule="auto"/>
        <w:rPr>
          <w:rFonts w:ascii="Avenir LT Std 65 Medium" w:hAnsi="Avenir LT Std 65 Medium" w:cstheme="minorHAnsi"/>
          <w:color w:val="114D61"/>
        </w:rPr>
      </w:pPr>
    </w:p>
    <w:p w14:paraId="177C0914" w14:textId="3347785C" w:rsidR="002B44DD" w:rsidRDefault="002B44DD" w:rsidP="00D45B6C">
      <w:pPr>
        <w:spacing w:after="0" w:line="240" w:lineRule="auto"/>
        <w:rPr>
          <w:rFonts w:ascii="Avenir LT Std 65 Medium" w:hAnsi="Avenir LT Std 65 Medium" w:cstheme="minorHAnsi"/>
          <w:color w:val="114D61"/>
        </w:rPr>
      </w:pPr>
      <w:bookmarkStart w:id="2" w:name="_Hlk491878614"/>
    </w:p>
    <w:bookmarkEnd w:id="1"/>
    <w:bookmarkEnd w:id="2"/>
    <w:p w14:paraId="26CC623A" w14:textId="760D9168" w:rsidR="00B31790" w:rsidRPr="00B31790" w:rsidRDefault="00B31790" w:rsidP="00B31790">
      <w:pPr>
        <w:spacing w:before="0" w:after="0" w:line="240" w:lineRule="auto"/>
        <w:jc w:val="left"/>
        <w:rPr>
          <w:rFonts w:ascii="Times New Roman" w:eastAsia="Times New Roman" w:hAnsi="Times New Roman" w:cs="Times New Roman"/>
          <w:sz w:val="24"/>
          <w:szCs w:val="24"/>
          <w:lang w:eastAsia="fr-FR"/>
        </w:rPr>
      </w:pPr>
    </w:p>
    <w:p w14:paraId="18BDEB8B" w14:textId="546C1762" w:rsidR="00B97F0E" w:rsidRDefault="00E66EF3" w:rsidP="00D45B6C">
      <w:pPr>
        <w:spacing w:after="0" w:line="240" w:lineRule="auto"/>
        <w:rPr>
          <w:rFonts w:ascii="Avenir LT Std 65 Medium" w:hAnsi="Avenir LT Std 65 Medium"/>
          <w:color w:val="114D61"/>
        </w:rPr>
      </w:pPr>
      <w:r w:rsidRPr="00B97F0E">
        <w:rPr>
          <w:rFonts w:ascii="Avenir LT Std 65 Medium" w:hAnsi="Avenir LT Std 65 Medium" w:cstheme="minorHAnsi"/>
          <w:color w:val="114D61"/>
        </w:rPr>
        <w:t xml:space="preserve">La </w:t>
      </w:r>
      <w:hyperlink r:id="rId9" w:history="1">
        <w:r w:rsidRPr="00B97F0E">
          <w:rPr>
            <w:rStyle w:val="Lienhypertexte"/>
            <w:rFonts w:ascii="Avenir LT Std 65 Medium" w:hAnsi="Avenir LT Std 65 Medium" w:cstheme="minorHAnsi"/>
          </w:rPr>
          <w:t xml:space="preserve">loi </w:t>
        </w:r>
        <w:r w:rsidR="006923E5" w:rsidRPr="00B97F0E">
          <w:rPr>
            <w:rStyle w:val="Lienhypertexte"/>
            <w:rFonts w:ascii="Avenir LT Std 65 Medium" w:hAnsi="Avenir LT Std 65 Medium" w:cstheme="minorHAnsi"/>
          </w:rPr>
          <w:t>n° 2020-1576 du 14 décembre 2020 de financement de la sécurité sociale pour 2021</w:t>
        </w:r>
      </w:hyperlink>
      <w:r w:rsidR="006923E5" w:rsidRPr="00B97F0E">
        <w:rPr>
          <w:rFonts w:ascii="Avenir LT Std 65 Medium" w:hAnsi="Avenir LT Std 65 Medium" w:cstheme="minorHAnsi"/>
        </w:rPr>
        <w:t xml:space="preserve"> </w:t>
      </w:r>
      <w:r w:rsidR="006923E5" w:rsidRPr="000649FD">
        <w:rPr>
          <w:rFonts w:ascii="Avenir LT Std 65 Medium" w:hAnsi="Avenir LT Std 65 Medium" w:cstheme="minorHAnsi"/>
          <w:color w:val="114D61"/>
        </w:rPr>
        <w:t xml:space="preserve">(1) </w:t>
      </w:r>
      <w:r w:rsidR="006923E5" w:rsidRPr="00B97F0E">
        <w:rPr>
          <w:rFonts w:ascii="Avenir LT Std 65 Medium" w:hAnsi="Avenir LT Std 65 Medium" w:cstheme="minorHAnsi"/>
          <w:color w:val="114D61"/>
        </w:rPr>
        <w:t xml:space="preserve">prévoit en son article 9 </w:t>
      </w:r>
      <w:r w:rsidR="00B97F0E" w:rsidRPr="00B97F0E">
        <w:rPr>
          <w:rFonts w:ascii="Avenir LT Std 65 Medium" w:hAnsi="Avenir LT Std 65 Medium" w:cstheme="minorHAnsi"/>
          <w:color w:val="114D61"/>
        </w:rPr>
        <w:t>plusieurs dispositifs d’aides relatifs aux cotisations</w:t>
      </w:r>
      <w:r w:rsidR="006923E5" w:rsidRPr="00B97F0E">
        <w:rPr>
          <w:rFonts w:ascii="Avenir LT Std 65 Medium" w:hAnsi="Avenir LT Std 65 Medium" w:cstheme="minorHAnsi"/>
          <w:color w:val="114D61"/>
        </w:rPr>
        <w:t xml:space="preserve"> </w:t>
      </w:r>
      <w:r w:rsidR="00B31790">
        <w:rPr>
          <w:rFonts w:ascii="Avenir LT Std 65 Medium" w:hAnsi="Avenir LT Std 65 Medium" w:cstheme="minorHAnsi"/>
          <w:color w:val="114D61"/>
        </w:rPr>
        <w:t>dans la continuité de</w:t>
      </w:r>
      <w:r w:rsidR="006923E5" w:rsidRPr="00B97F0E">
        <w:rPr>
          <w:rFonts w:ascii="Avenir LT Std 65 Medium" w:hAnsi="Avenir LT Std 65 Medium" w:cstheme="minorHAnsi"/>
          <w:color w:val="114D61"/>
        </w:rPr>
        <w:t xml:space="preserve"> </w:t>
      </w:r>
      <w:r w:rsidR="00B97F0E" w:rsidRPr="00B97F0E">
        <w:rPr>
          <w:rFonts w:ascii="Avenir LT Std 65 Medium" w:hAnsi="Avenir LT Std 65 Medium" w:cstheme="minorHAnsi"/>
          <w:color w:val="114D61"/>
        </w:rPr>
        <w:t>ceux</w:t>
      </w:r>
      <w:r w:rsidR="006923E5" w:rsidRPr="00B97F0E">
        <w:rPr>
          <w:rFonts w:ascii="Avenir LT Std 65 Medium" w:hAnsi="Avenir LT Std 65 Medium" w:cstheme="minorHAnsi"/>
          <w:color w:val="114D61"/>
        </w:rPr>
        <w:t xml:space="preserve"> instauré</w:t>
      </w:r>
      <w:r w:rsidR="00B97F0E" w:rsidRPr="00B97F0E">
        <w:rPr>
          <w:rFonts w:ascii="Avenir LT Std 65 Medium" w:hAnsi="Avenir LT Std 65 Medium" w:cstheme="minorHAnsi"/>
          <w:color w:val="114D61"/>
        </w:rPr>
        <w:t>s</w:t>
      </w:r>
      <w:r w:rsidR="006923E5" w:rsidRPr="00B97F0E">
        <w:rPr>
          <w:rFonts w:ascii="Avenir LT Std 65 Medium" w:hAnsi="Avenir LT Std 65 Medium" w:cstheme="minorHAnsi"/>
          <w:color w:val="114D61"/>
        </w:rPr>
        <w:t xml:space="preserve"> </w:t>
      </w:r>
      <w:r w:rsidR="00B31790">
        <w:rPr>
          <w:rFonts w:ascii="Avenir LT Std 65 Medium" w:hAnsi="Avenir LT Std 65 Medium" w:cstheme="minorHAnsi"/>
          <w:color w:val="114D61"/>
        </w:rPr>
        <w:t xml:space="preserve">à l’occasion du premier confinement </w:t>
      </w:r>
      <w:r w:rsidR="006923E5" w:rsidRPr="00B97F0E">
        <w:rPr>
          <w:rFonts w:ascii="Avenir LT Std 65 Medium" w:hAnsi="Avenir LT Std 65 Medium" w:cstheme="minorHAnsi"/>
          <w:color w:val="114D61"/>
        </w:rPr>
        <w:t xml:space="preserve">par </w:t>
      </w:r>
      <w:r w:rsidR="006923E5" w:rsidRPr="00B97F0E">
        <w:rPr>
          <w:rFonts w:ascii="Avenir LT Std 65 Medium" w:hAnsi="Avenir LT Std 65 Medium"/>
          <w:color w:val="114D61"/>
        </w:rPr>
        <w:t xml:space="preserve">l’article 65 de </w:t>
      </w:r>
      <w:hyperlink r:id="rId10" w:history="1">
        <w:r w:rsidR="006923E5" w:rsidRPr="00B97F0E">
          <w:rPr>
            <w:rFonts w:ascii="Avenir LT Std 65 Medium" w:hAnsi="Avenir LT Std 65 Medium"/>
            <w:color w:val="0563C1"/>
            <w:u w:val="single"/>
          </w:rPr>
          <w:t>la loi n° 2020-935 du 30 juillet 2020 de finances rectificative pour 2020</w:t>
        </w:r>
      </w:hyperlink>
      <w:r w:rsidR="00B97F0E" w:rsidRPr="00B97F0E">
        <w:rPr>
          <w:rFonts w:ascii="Avenir LT Std 65 Medium" w:hAnsi="Avenir LT Std 65 Medium"/>
          <w:color w:val="114D61"/>
        </w:rPr>
        <w:t>, à savoir</w:t>
      </w:r>
      <w:r w:rsidR="00B97F0E">
        <w:rPr>
          <w:rFonts w:ascii="Avenir LT Std 65 Medium" w:hAnsi="Avenir LT Std 65 Medium"/>
          <w:color w:val="114D61"/>
        </w:rPr>
        <w:t> :</w:t>
      </w:r>
    </w:p>
    <w:p w14:paraId="6843F456" w14:textId="72A27011" w:rsidR="00B97F0E" w:rsidRPr="00B97F0E" w:rsidRDefault="00B97F0E" w:rsidP="00D45B6C">
      <w:pPr>
        <w:pStyle w:val="Paragraphedeliste"/>
        <w:numPr>
          <w:ilvl w:val="0"/>
          <w:numId w:val="19"/>
        </w:numPr>
        <w:spacing w:after="0" w:line="240" w:lineRule="auto"/>
        <w:rPr>
          <w:rFonts w:ascii="Avenir LT Std 65 Medium" w:hAnsi="Avenir LT Std 65 Medium" w:cstheme="minorHAnsi"/>
          <w:color w:val="114D61"/>
        </w:rPr>
      </w:pPr>
      <w:r w:rsidRPr="00B97F0E">
        <w:rPr>
          <w:rFonts w:ascii="Avenir LT Std 65 Medium" w:hAnsi="Avenir LT Std 65 Medium"/>
          <w:color w:val="114D61"/>
        </w:rPr>
        <w:t>un dispositif d’exonération et d’aide au paiement</w:t>
      </w:r>
      <w:r>
        <w:rPr>
          <w:rFonts w:ascii="Avenir LT Std 65 Medium" w:hAnsi="Avenir LT Std 65 Medium"/>
          <w:color w:val="114D61"/>
        </w:rPr>
        <w:t> ;</w:t>
      </w:r>
    </w:p>
    <w:p w14:paraId="3D57F8E6" w14:textId="140393A6" w:rsidR="00D4207A" w:rsidRPr="00B97F0E" w:rsidRDefault="00B97F0E" w:rsidP="00D45B6C">
      <w:pPr>
        <w:pStyle w:val="Paragraphedeliste"/>
        <w:numPr>
          <w:ilvl w:val="0"/>
          <w:numId w:val="19"/>
        </w:numPr>
        <w:spacing w:after="0" w:line="240" w:lineRule="auto"/>
        <w:rPr>
          <w:rFonts w:ascii="Avenir LT Std 65 Medium" w:hAnsi="Avenir LT Std 65 Medium" w:cstheme="minorHAnsi"/>
          <w:color w:val="114D61"/>
        </w:rPr>
      </w:pPr>
      <w:r w:rsidRPr="00B97F0E">
        <w:rPr>
          <w:rFonts w:ascii="Avenir LT Std 65 Medium" w:hAnsi="Avenir LT Std 65 Medium"/>
          <w:color w:val="114D61"/>
        </w:rPr>
        <w:t xml:space="preserve">un dispositif de plans d’apurement des cotisations. </w:t>
      </w:r>
    </w:p>
    <w:p w14:paraId="2A668C57" w14:textId="0A71DB12" w:rsidR="006923E5" w:rsidRDefault="00B97F0E" w:rsidP="00D45B6C">
      <w:pPr>
        <w:spacing w:after="0" w:line="240" w:lineRule="auto"/>
        <w:rPr>
          <w:rFonts w:ascii="Avenir LT Std 65 Medium" w:hAnsi="Avenir LT Std 65 Medium"/>
          <w:color w:val="114D61"/>
        </w:rPr>
      </w:pPr>
      <w:r w:rsidRPr="00B97F0E">
        <w:rPr>
          <w:rFonts w:ascii="Avenir LT Std 65 Medium" w:hAnsi="Avenir LT Std 65 Medium"/>
          <w:color w:val="114D61"/>
        </w:rPr>
        <w:t>L’ensemble de ces</w:t>
      </w:r>
      <w:r w:rsidR="00D4207A" w:rsidRPr="00B97F0E">
        <w:rPr>
          <w:rFonts w:ascii="Avenir LT Std 65 Medium" w:hAnsi="Avenir LT Std 65 Medium"/>
          <w:color w:val="114D61"/>
        </w:rPr>
        <w:t xml:space="preserve"> dispositions </w:t>
      </w:r>
      <w:r>
        <w:rPr>
          <w:rFonts w:ascii="Avenir LT Std 65 Medium" w:hAnsi="Avenir LT Std 65 Medium"/>
          <w:color w:val="114D61"/>
        </w:rPr>
        <w:t>est</w:t>
      </w:r>
      <w:r w:rsidR="00D4207A" w:rsidRPr="00B97F0E">
        <w:rPr>
          <w:rFonts w:ascii="Avenir LT Std 65 Medium" w:hAnsi="Avenir LT Std 65 Medium"/>
          <w:color w:val="114D61"/>
        </w:rPr>
        <w:t xml:space="preserve"> </w:t>
      </w:r>
      <w:r w:rsidR="00D4207A" w:rsidRPr="008F1307">
        <w:rPr>
          <w:rFonts w:ascii="Avenir LT Std 65 Medium" w:hAnsi="Avenir LT Std 65 Medium"/>
          <w:color w:val="114D61"/>
        </w:rPr>
        <w:t>applicable</w:t>
      </w:r>
      <w:r w:rsidR="00D4207A" w:rsidRPr="00B97F0E">
        <w:rPr>
          <w:rFonts w:ascii="Avenir LT Std 65 Medium" w:hAnsi="Avenir LT Std 65 Medium"/>
          <w:color w:val="114D61"/>
        </w:rPr>
        <w:t xml:space="preserve"> à Mayotte et Saint-Pierre et Miquelon. </w:t>
      </w:r>
    </w:p>
    <w:p w14:paraId="4AE0C7B5" w14:textId="77777777" w:rsidR="00402EFE" w:rsidRDefault="00E33639" w:rsidP="00D45B6C">
      <w:pPr>
        <w:spacing w:after="0" w:line="240" w:lineRule="auto"/>
        <w:rPr>
          <w:rFonts w:ascii="Avenir LT Std 65 Medium" w:hAnsi="Avenir LT Std 65 Medium"/>
          <w:color w:val="114D61"/>
        </w:rPr>
      </w:pPr>
      <w:r w:rsidRPr="008F1307">
        <w:rPr>
          <w:rFonts w:ascii="Avenir LT Std 65 Medium" w:hAnsi="Avenir LT Std 65 Medium"/>
          <w:color w:val="114D61"/>
        </w:rPr>
        <w:t xml:space="preserve">Le </w:t>
      </w:r>
      <w:hyperlink r:id="rId11" w:history="1">
        <w:r w:rsidRPr="00E33639">
          <w:rPr>
            <w:rStyle w:val="Lienhypertexte"/>
            <w:rFonts w:ascii="Avenir LT Std 65 Medium" w:hAnsi="Avenir LT Std 65 Medium"/>
          </w:rPr>
          <w:t>décret n°2021-75 du 27 janvier 2021</w:t>
        </w:r>
      </w:hyperlink>
      <w:r w:rsidRPr="00E33639">
        <w:rPr>
          <w:rFonts w:ascii="Avenir LT Std 65 Medium" w:hAnsi="Avenir LT Std 65 Medium"/>
          <w:color w:val="A81815"/>
        </w:rPr>
        <w:t xml:space="preserve"> </w:t>
      </w:r>
      <w:r w:rsidRPr="008F1307">
        <w:rPr>
          <w:rFonts w:ascii="Avenir LT Std 65 Medium" w:hAnsi="Avenir LT Std 65 Medium"/>
          <w:color w:val="114D61"/>
        </w:rPr>
        <w:t xml:space="preserve">vient préciser l’ensemble des règles applicables </w:t>
      </w:r>
      <w:r w:rsidR="00F95BA1" w:rsidRPr="008F1307">
        <w:rPr>
          <w:rFonts w:ascii="Avenir LT Std 65 Medium" w:hAnsi="Avenir LT Std 65 Medium"/>
          <w:color w:val="114D61"/>
        </w:rPr>
        <w:t>aux dispositifs d’exonération et d’aide au paiement</w:t>
      </w:r>
      <w:r w:rsidR="00F32E23" w:rsidRPr="008F1307">
        <w:rPr>
          <w:rFonts w:ascii="Avenir LT Std 65 Medium" w:hAnsi="Avenir LT Std 65 Medium"/>
          <w:color w:val="114D61"/>
        </w:rPr>
        <w:t xml:space="preserve">, complété par ailleurs </w:t>
      </w:r>
      <w:r w:rsidR="00F32E23" w:rsidRPr="00402EFE">
        <w:rPr>
          <w:rFonts w:ascii="Avenir LT Std 65 Medium" w:hAnsi="Avenir LT Std 65 Medium"/>
          <w:color w:val="114D61"/>
        </w:rPr>
        <w:t>par</w:t>
      </w:r>
      <w:r w:rsidR="00F32E23" w:rsidRPr="008F1307">
        <w:rPr>
          <w:rFonts w:ascii="Avenir LT Std 65 Medium" w:hAnsi="Avenir LT Std 65 Medium"/>
          <w:color w:val="114D61"/>
        </w:rPr>
        <w:t xml:space="preserve"> une </w:t>
      </w:r>
      <w:hyperlink r:id="rId12" w:history="1">
        <w:r w:rsidR="00F32E23" w:rsidRPr="00F32E23">
          <w:rPr>
            <w:rStyle w:val="Lienhypertexte"/>
            <w:rFonts w:ascii="Avenir LT Std 65 Medium" w:hAnsi="Avenir LT Std 65 Medium"/>
          </w:rPr>
          <w:t>instruction DSS du 5 mars 2021</w:t>
        </w:r>
      </w:hyperlink>
      <w:r w:rsidR="00F95BA1" w:rsidRPr="008F1307">
        <w:rPr>
          <w:rFonts w:ascii="Avenir LT Std 65 Medium" w:hAnsi="Avenir LT Std 65 Medium"/>
          <w:color w:val="114D61"/>
        </w:rPr>
        <w:t>.</w:t>
      </w:r>
      <w:r w:rsidR="00F95BA1">
        <w:rPr>
          <w:rFonts w:ascii="Avenir LT Std 65 Medium" w:hAnsi="Avenir LT Std 65 Medium"/>
          <w:color w:val="A81815"/>
        </w:rPr>
        <w:t xml:space="preserve"> </w:t>
      </w:r>
      <w:r w:rsidR="00F95BA1" w:rsidRPr="00402EFE">
        <w:rPr>
          <w:rFonts w:ascii="Avenir LT Std 65 Medium" w:hAnsi="Avenir LT Std 65 Medium"/>
          <w:color w:val="114D61"/>
        </w:rPr>
        <w:t xml:space="preserve">Le </w:t>
      </w:r>
      <w:hyperlink r:id="rId13" w:history="1">
        <w:r w:rsidR="00F95BA1" w:rsidRPr="00F95BA1">
          <w:rPr>
            <w:rStyle w:val="Lienhypertexte"/>
            <w:rFonts w:ascii="Avenir LT Std 65 Medium" w:hAnsi="Avenir LT Std 65 Medium"/>
          </w:rPr>
          <w:t>décret n°2021-316 du 25 mars 2021</w:t>
        </w:r>
      </w:hyperlink>
      <w:r w:rsidR="00F95BA1">
        <w:rPr>
          <w:rFonts w:ascii="Avenir LT Std 65 Medium" w:hAnsi="Avenir LT Std 65 Medium"/>
          <w:color w:val="A81815"/>
        </w:rPr>
        <w:t xml:space="preserve"> </w:t>
      </w:r>
      <w:r w:rsidR="00F95BA1" w:rsidRPr="00402EFE">
        <w:rPr>
          <w:rFonts w:ascii="Avenir LT Std 65 Medium" w:hAnsi="Avenir LT Std 65 Medium"/>
          <w:color w:val="114D61"/>
        </w:rPr>
        <w:t xml:space="preserve">vient quant à lui préciser les règles applicables aux plans d’apurement et aux remises partielles de dettes (mis en place par la loi du 30 juillet 2020). </w:t>
      </w:r>
    </w:p>
    <w:p w14:paraId="4CEDEBE0" w14:textId="1D5B24D6" w:rsidR="00E33639" w:rsidRPr="00402EFE" w:rsidRDefault="00BB0424" w:rsidP="00D45B6C">
      <w:pPr>
        <w:spacing w:after="0" w:line="240" w:lineRule="auto"/>
        <w:rPr>
          <w:rFonts w:ascii="Avenir LT Std 65 Medium" w:hAnsi="Avenir LT Std 65 Medium"/>
          <w:color w:val="114D61"/>
        </w:rPr>
      </w:pPr>
      <w:r w:rsidRPr="00402EFE">
        <w:rPr>
          <w:rFonts w:ascii="Avenir LT Std 65 Medium" w:hAnsi="Avenir LT Std 65 Medium"/>
          <w:color w:val="114D61"/>
        </w:rPr>
        <w:t xml:space="preserve">Le </w:t>
      </w:r>
      <w:hyperlink r:id="rId14" w:history="1">
        <w:r w:rsidRPr="00BB0424">
          <w:rPr>
            <w:rStyle w:val="Lienhypertexte"/>
            <w:rFonts w:ascii="Avenir LT Std 65 Medium" w:hAnsi="Avenir LT Std 65 Medium"/>
          </w:rPr>
          <w:t>décret n°2021-430 du 12 avril 2021</w:t>
        </w:r>
      </w:hyperlink>
      <w:r>
        <w:rPr>
          <w:rFonts w:ascii="Avenir LT Std 65 Medium" w:hAnsi="Avenir LT Std 65 Medium"/>
          <w:color w:val="A81815"/>
        </w:rPr>
        <w:t xml:space="preserve"> </w:t>
      </w:r>
      <w:r w:rsidR="00402EFE" w:rsidRPr="00402EFE">
        <w:rPr>
          <w:rFonts w:ascii="Avenir LT Std 65 Medium" w:hAnsi="Avenir LT Std 65 Medium"/>
          <w:color w:val="A81815"/>
        </w:rPr>
        <w:t>puis</w:t>
      </w:r>
      <w:r w:rsidR="00402EFE">
        <w:rPr>
          <w:rFonts w:ascii="Avenir LT Std 65 Medium" w:hAnsi="Avenir LT Std 65 Medium"/>
          <w:color w:val="A81815"/>
        </w:rPr>
        <w:t xml:space="preserve"> du </w:t>
      </w:r>
      <w:hyperlink r:id="rId15" w:history="1">
        <w:r w:rsidR="00402EFE" w:rsidRPr="00402EFE">
          <w:rPr>
            <w:rStyle w:val="Lienhypertexte"/>
            <w:rFonts w:ascii="Avenir LT Std 65 Medium" w:hAnsi="Avenir LT Std 65 Medium"/>
          </w:rPr>
          <w:t>3 juin 2021 (n°2021-709)</w:t>
        </w:r>
      </w:hyperlink>
      <w:r w:rsidR="00402EFE">
        <w:rPr>
          <w:rFonts w:ascii="Avenir LT Std 65 Medium" w:hAnsi="Avenir LT Std 65 Medium"/>
          <w:color w:val="A81815"/>
        </w:rPr>
        <w:t xml:space="preserve"> </w:t>
      </w:r>
      <w:r w:rsidRPr="00402EFE">
        <w:rPr>
          <w:rFonts w:ascii="Avenir LT Std 65 Medium" w:hAnsi="Avenir LT Std 65 Medium"/>
          <w:color w:val="114D61"/>
        </w:rPr>
        <w:t xml:space="preserve">prolonge les mesures d’exonération et d’aide au paiement jusqu’au </w:t>
      </w:r>
      <w:r w:rsidR="00402EFE">
        <w:rPr>
          <w:rFonts w:ascii="Avenir LT Std 65 Medium" w:hAnsi="Avenir LT Std 65 Medium"/>
          <w:color w:val="A81815"/>
        </w:rPr>
        <w:t>30</w:t>
      </w:r>
      <w:r w:rsidRPr="00402EFE">
        <w:rPr>
          <w:rFonts w:ascii="Avenir LT Std 65 Medium" w:hAnsi="Avenir LT Std 65 Medium"/>
          <w:color w:val="A81815"/>
        </w:rPr>
        <w:t xml:space="preserve"> </w:t>
      </w:r>
      <w:r w:rsidR="00402EFE">
        <w:rPr>
          <w:rFonts w:ascii="Avenir LT Std 65 Medium" w:hAnsi="Avenir LT Std 65 Medium"/>
          <w:color w:val="A81815"/>
        </w:rPr>
        <w:t>avril</w:t>
      </w:r>
      <w:r w:rsidRPr="00402EFE">
        <w:rPr>
          <w:rFonts w:ascii="Avenir LT Std 65 Medium" w:hAnsi="Avenir LT Std 65 Medium"/>
          <w:color w:val="A81815"/>
        </w:rPr>
        <w:t xml:space="preserve"> 2021</w:t>
      </w:r>
      <w:r w:rsidRPr="00402EFE">
        <w:rPr>
          <w:rFonts w:ascii="Avenir LT Std 65 Medium" w:hAnsi="Avenir LT Std 65 Medium"/>
          <w:color w:val="114D61"/>
        </w:rPr>
        <w:t xml:space="preserve">. </w:t>
      </w:r>
    </w:p>
    <w:p w14:paraId="792B5663" w14:textId="77777777" w:rsidR="00D45B6C" w:rsidRPr="00B97F0E" w:rsidRDefault="00D45B6C" w:rsidP="00D45B6C">
      <w:pPr>
        <w:spacing w:after="0" w:line="240" w:lineRule="auto"/>
        <w:rPr>
          <w:rFonts w:ascii="Avenir LT Std 65 Medium" w:hAnsi="Avenir LT Std 65 Medium"/>
          <w:color w:val="114D61"/>
        </w:rPr>
      </w:pPr>
    </w:p>
    <w:p w14:paraId="50AEF299" w14:textId="00B69FFB" w:rsidR="00B97F0E" w:rsidRDefault="00B97F0E" w:rsidP="00D45B6C">
      <w:pPr>
        <w:pStyle w:val="Titre1"/>
      </w:pPr>
      <w:r>
        <w:t>EXONERATION DE CHARGES ET AIDE AU PAIEMENT</w:t>
      </w:r>
    </w:p>
    <w:p w14:paraId="3F16F8CD" w14:textId="59531E8F" w:rsidR="00422FD6" w:rsidRDefault="00573639" w:rsidP="00D45B6C">
      <w:pPr>
        <w:pStyle w:val="Titre1"/>
        <w:ind w:firstLine="708"/>
      </w:pPr>
      <w:r>
        <w:t>CONDITION</w:t>
      </w:r>
      <w:r w:rsidR="00082F2A">
        <w:t>S</w:t>
      </w:r>
      <w:r w:rsidR="00844351">
        <w:t xml:space="preserve"> D’APPLICATION DE L’EXONERATION</w:t>
      </w:r>
    </w:p>
    <w:p w14:paraId="49B2945D" w14:textId="77777777" w:rsidR="00502604" w:rsidRDefault="00502604" w:rsidP="00D45B6C">
      <w:pPr>
        <w:spacing w:before="0" w:after="0" w:line="240" w:lineRule="auto"/>
        <w:rPr>
          <w:rFonts w:eastAsia="Times New Roman"/>
        </w:rPr>
      </w:pPr>
    </w:p>
    <w:p w14:paraId="342F4865" w14:textId="5021BB60" w:rsidR="00502604" w:rsidRDefault="00502604" w:rsidP="00D45B6C">
      <w:pPr>
        <w:spacing w:before="0" w:after="0" w:line="240" w:lineRule="auto"/>
        <w:rPr>
          <w:rFonts w:eastAsia="Times New Roman"/>
        </w:rPr>
      </w:pPr>
      <w:r>
        <w:rPr>
          <w:rFonts w:eastAsia="Times New Roman"/>
        </w:rPr>
        <w:t xml:space="preserve">L’article </w:t>
      </w:r>
      <w:r w:rsidR="00B97F0E">
        <w:rPr>
          <w:rFonts w:eastAsia="Times New Roman"/>
        </w:rPr>
        <w:t xml:space="preserve">9 de la LFSS 2021 </w:t>
      </w:r>
      <w:r>
        <w:rPr>
          <w:rFonts w:eastAsia="Times New Roman"/>
        </w:rPr>
        <w:t>prévoit une exonération de cotisations patronales</w:t>
      </w:r>
      <w:r w:rsidR="00B97F0E">
        <w:rPr>
          <w:rFonts w:eastAsia="Times New Roman"/>
        </w:rPr>
        <w:t> </w:t>
      </w:r>
      <w:r w:rsidR="00AF3F16">
        <w:rPr>
          <w:rFonts w:eastAsia="Times New Roman"/>
        </w:rPr>
        <w:t xml:space="preserve">pour les employeurs </w:t>
      </w:r>
      <w:r w:rsidR="00AF3F16" w:rsidRPr="00502604">
        <w:rPr>
          <w:rFonts w:eastAsia="Times New Roman"/>
        </w:rPr>
        <w:t>qui ont été particulièrement affectés par les conséquences économiques et financières de la propagation de l’épidémie de covid-19</w:t>
      </w:r>
      <w:r w:rsidR="00AF3F16">
        <w:rPr>
          <w:rFonts w:eastAsia="Times New Roman"/>
        </w:rPr>
        <w:t> :</w:t>
      </w:r>
    </w:p>
    <w:p w14:paraId="16432DB0" w14:textId="2A3C72DC" w:rsidR="00502604" w:rsidRDefault="00502604" w:rsidP="00D45B6C">
      <w:pPr>
        <w:spacing w:before="0" w:after="0" w:line="240" w:lineRule="auto"/>
        <w:rPr>
          <w:rFonts w:eastAsia="Times New Roman"/>
        </w:rPr>
      </w:pPr>
    </w:p>
    <w:p w14:paraId="5323C332" w14:textId="73AE48FF" w:rsidR="00502604" w:rsidRPr="00502604" w:rsidRDefault="00502604" w:rsidP="00D45B6C">
      <w:pPr>
        <w:pStyle w:val="Paragraphedeliste"/>
        <w:numPr>
          <w:ilvl w:val="0"/>
          <w:numId w:val="14"/>
        </w:numPr>
        <w:spacing w:before="0" w:after="0" w:line="240" w:lineRule="auto"/>
        <w:rPr>
          <w:rFonts w:eastAsia="Times New Roman"/>
        </w:rPr>
      </w:pPr>
      <w:r w:rsidRPr="00502604">
        <w:rPr>
          <w:rFonts w:eastAsia="Times New Roman"/>
          <w:u w:val="single"/>
        </w:rPr>
        <w:t>Pour les employeurs de moins de 250 salariés</w:t>
      </w:r>
      <w:r w:rsidR="0048283A">
        <w:rPr>
          <w:rFonts w:eastAsia="Times New Roman"/>
          <w:u w:val="single"/>
        </w:rPr>
        <w:t xml:space="preserve"> (art. 9 I B- 1° de la loi)</w:t>
      </w:r>
      <w:r w:rsidR="001C65A2">
        <w:rPr>
          <w:rFonts w:eastAsia="Times New Roman"/>
          <w:u w:val="single"/>
        </w:rPr>
        <w:t xml:space="preserve"> </w:t>
      </w:r>
      <w:r w:rsidRPr="00502604">
        <w:rPr>
          <w:rFonts w:eastAsia="Times New Roman"/>
        </w:rPr>
        <w:t xml:space="preserve">: </w:t>
      </w:r>
    </w:p>
    <w:p w14:paraId="773437EF" w14:textId="29C7AEEA" w:rsidR="0048283A" w:rsidRPr="000858B0" w:rsidRDefault="00502604" w:rsidP="0048283A">
      <w:pPr>
        <w:pStyle w:val="Paragraphedeliste"/>
        <w:numPr>
          <w:ilvl w:val="0"/>
          <w:numId w:val="13"/>
        </w:numPr>
        <w:spacing w:before="0" w:after="0" w:line="240" w:lineRule="auto"/>
        <w:rPr>
          <w:rFonts w:eastAsia="Times New Roman"/>
          <w:color w:val="A81815"/>
        </w:rPr>
      </w:pPr>
      <w:r w:rsidRPr="00502604">
        <w:rPr>
          <w:rFonts w:eastAsia="Times New Roman"/>
        </w:rPr>
        <w:t xml:space="preserve">Dans les </w:t>
      </w:r>
      <w:r w:rsidRPr="00844351">
        <w:rPr>
          <w:rFonts w:eastAsia="Times New Roman"/>
          <w:b/>
          <w:bCs/>
          <w:u w:val="single"/>
        </w:rPr>
        <w:t>secteurs dits prioritaires</w:t>
      </w:r>
      <w:r w:rsidRPr="00502604">
        <w:rPr>
          <w:rFonts w:eastAsia="Times New Roman"/>
        </w:rPr>
        <w:t xml:space="preserve"> (tourisme, hôtellerie, restauration, sport, culture, transport aérien, évènementiel</w:t>
      </w:r>
      <w:r w:rsidRPr="008F1307">
        <w:rPr>
          <w:rFonts w:eastAsia="Times New Roman"/>
        </w:rPr>
        <w:t>)</w:t>
      </w:r>
      <w:r w:rsidR="0048283A" w:rsidRPr="008F1307">
        <w:rPr>
          <w:rFonts w:eastAsia="Times New Roman"/>
        </w:rPr>
        <w:t xml:space="preserve">, </w:t>
      </w:r>
      <w:r w:rsidR="000858B0" w:rsidRPr="008F1307">
        <w:rPr>
          <w:rFonts w:eastAsia="Times New Roman"/>
        </w:rPr>
        <w:t xml:space="preserve">tels que visés par </w:t>
      </w:r>
      <w:hyperlink r:id="rId16" w:history="1">
        <w:r w:rsidR="000858B0" w:rsidRPr="000858B0">
          <w:rPr>
            <w:rStyle w:val="Lienhypertexte"/>
            <w:rFonts w:eastAsia="Times New Roman"/>
          </w:rPr>
          <w:t>l’annexe 1 du décret du 30 mars 2020</w:t>
        </w:r>
      </w:hyperlink>
      <w:r w:rsidR="000858B0">
        <w:rPr>
          <w:rFonts w:eastAsia="Times New Roman"/>
          <w:color w:val="A81815"/>
        </w:rPr>
        <w:t xml:space="preserve"> </w:t>
      </w:r>
      <w:r w:rsidR="000858B0" w:rsidRPr="008F1307">
        <w:rPr>
          <w:rFonts w:eastAsia="Times New Roman"/>
        </w:rPr>
        <w:t>(soit le décret relatif au fonds de solidarité) dans sa version en vigueur au 1</w:t>
      </w:r>
      <w:r w:rsidR="000858B0" w:rsidRPr="008F1307">
        <w:rPr>
          <w:rFonts w:eastAsia="Times New Roman"/>
          <w:vertAlign w:val="superscript"/>
        </w:rPr>
        <w:t>er</w:t>
      </w:r>
      <w:r w:rsidR="000858B0" w:rsidRPr="008F1307">
        <w:rPr>
          <w:rFonts w:eastAsia="Times New Roman"/>
        </w:rPr>
        <w:t xml:space="preserve"> janvier 2021 : </w:t>
      </w:r>
    </w:p>
    <w:p w14:paraId="3D80C865" w14:textId="2599949A" w:rsidR="00B31790" w:rsidRPr="00B47153" w:rsidRDefault="0048283A" w:rsidP="00B31790">
      <w:pPr>
        <w:pStyle w:val="Paragraphedeliste"/>
        <w:numPr>
          <w:ilvl w:val="1"/>
          <w:numId w:val="13"/>
        </w:numPr>
        <w:spacing w:before="0" w:after="0" w:line="240" w:lineRule="auto"/>
        <w:rPr>
          <w:rFonts w:eastAsia="Times New Roman"/>
          <w:i/>
          <w:iCs/>
        </w:rPr>
      </w:pPr>
      <w:bookmarkStart w:id="3" w:name="_Hlk59182943"/>
      <w:r w:rsidRPr="00F15451">
        <w:rPr>
          <w:rFonts w:eastAsia="Times New Roman"/>
          <w:b/>
          <w:bCs/>
          <w:u w:val="single"/>
        </w:rPr>
        <w:t>Au titre des périodes à compter du 1</w:t>
      </w:r>
      <w:r w:rsidRPr="00F15451">
        <w:rPr>
          <w:rFonts w:eastAsia="Times New Roman"/>
          <w:b/>
          <w:bCs/>
          <w:u w:val="single"/>
          <w:vertAlign w:val="superscript"/>
        </w:rPr>
        <w:t>er</w:t>
      </w:r>
      <w:r w:rsidRPr="00F15451">
        <w:rPr>
          <w:rFonts w:eastAsia="Times New Roman"/>
          <w:b/>
          <w:bCs/>
          <w:u w:val="single"/>
        </w:rPr>
        <w:t xml:space="preserve"> septembre 2020</w:t>
      </w:r>
      <w:r>
        <w:rPr>
          <w:rFonts w:eastAsia="Times New Roman"/>
        </w:rPr>
        <w:t xml:space="preserve">, </w:t>
      </w:r>
      <w:r w:rsidRPr="00B31790">
        <w:rPr>
          <w:rFonts w:eastAsia="Times New Roman"/>
        </w:rPr>
        <w:t xml:space="preserve">à condition, qu'ils exercent leur activité dans un lieu concerné </w:t>
      </w:r>
      <w:r w:rsidR="00C104FE" w:rsidRPr="00F15451">
        <w:rPr>
          <w:rFonts w:eastAsia="Times New Roman"/>
          <w:b/>
          <w:bCs/>
        </w:rPr>
        <w:t>avant le 30 octobre</w:t>
      </w:r>
      <w:r w:rsidR="00C104FE" w:rsidRPr="00B31790">
        <w:rPr>
          <w:rFonts w:eastAsia="Times New Roman"/>
        </w:rPr>
        <w:t xml:space="preserve"> </w:t>
      </w:r>
      <w:r w:rsidR="00C104FE" w:rsidRPr="00F15451">
        <w:rPr>
          <w:rFonts w:eastAsia="Times New Roman"/>
          <w:b/>
          <w:bCs/>
        </w:rPr>
        <w:t>2020</w:t>
      </w:r>
      <w:r w:rsidR="00C104FE" w:rsidRPr="00B31790">
        <w:rPr>
          <w:rFonts w:eastAsia="Times New Roman"/>
        </w:rPr>
        <w:t xml:space="preserve"> </w:t>
      </w:r>
      <w:r w:rsidRPr="00B31790">
        <w:rPr>
          <w:rFonts w:eastAsia="Times New Roman"/>
        </w:rPr>
        <w:t xml:space="preserve">par </w:t>
      </w:r>
      <w:r w:rsidR="00C104FE" w:rsidRPr="00B31790">
        <w:rPr>
          <w:rFonts w:eastAsia="Times New Roman"/>
        </w:rPr>
        <w:t>d</w:t>
      </w:r>
      <w:r w:rsidRPr="00B31790">
        <w:rPr>
          <w:rFonts w:eastAsia="Times New Roman"/>
        </w:rPr>
        <w:t xml:space="preserve">es mesures de réglementation ou d'interdiction de la circulation des personnes ou d'accueil du public prises dans le cadre de </w:t>
      </w:r>
      <w:r w:rsidRPr="00B31790">
        <w:rPr>
          <w:rFonts w:eastAsia="Times New Roman"/>
        </w:rPr>
        <w:lastRenderedPageBreak/>
        <w:t>l'état d'urgence sanitaire</w:t>
      </w:r>
      <w:r w:rsidR="00B31790" w:rsidRPr="00B31790">
        <w:rPr>
          <w:rFonts w:eastAsia="Times New Roman"/>
        </w:rPr>
        <w:t xml:space="preserve"> </w:t>
      </w:r>
      <w:r w:rsidR="00B31790" w:rsidRPr="00B31790">
        <w:rPr>
          <w:rFonts w:ascii="Arial" w:eastAsia="Times New Roman" w:hAnsi="Arial" w:cs="Arial"/>
        </w:rPr>
        <w:t>→</w:t>
      </w:r>
      <w:r w:rsidR="00B31790" w:rsidRPr="00B31790">
        <w:rPr>
          <w:rFonts w:eastAsia="Times New Roman"/>
        </w:rPr>
        <w:t xml:space="preserve"> </w:t>
      </w:r>
      <w:r w:rsidR="00B31790" w:rsidRPr="00B47153">
        <w:rPr>
          <w:rFonts w:eastAsia="Times New Roman"/>
          <w:i/>
          <w:iCs/>
        </w:rPr>
        <w:t xml:space="preserve">Sont donc visés les employeurs des zones où ont été instaurés des </w:t>
      </w:r>
      <w:r w:rsidR="00B31790" w:rsidRPr="00B47153">
        <w:rPr>
          <w:rFonts w:eastAsia="Times New Roman"/>
          <w:b/>
          <w:bCs/>
          <w:i/>
          <w:iCs/>
        </w:rPr>
        <w:t>couvre-feux</w:t>
      </w:r>
      <w:r w:rsidR="00B31790" w:rsidRPr="00B47153">
        <w:rPr>
          <w:rFonts w:eastAsia="Times New Roman"/>
          <w:i/>
          <w:iCs/>
        </w:rPr>
        <w:t xml:space="preserve"> avant le 30 octobre. Le 17 octobre 2020, un couvre-feu a ainsi été instauré en Île-de-France et dans 8 grandes agglomérations, puis il a été étendu à 38 départements à partir du 24 octobre 2020</w:t>
      </w:r>
      <w:r w:rsidR="004D41F0">
        <w:rPr>
          <w:rFonts w:eastAsia="Times New Roman"/>
          <w:i/>
          <w:iCs/>
        </w:rPr>
        <w:t>, puis ensuite impactés par le confinement national</w:t>
      </w:r>
      <w:r w:rsidR="000649FD">
        <w:rPr>
          <w:rFonts w:eastAsia="Times New Roman"/>
          <w:i/>
          <w:iCs/>
        </w:rPr>
        <w:t>.</w:t>
      </w:r>
    </w:p>
    <w:p w14:paraId="0D64DD89" w14:textId="42975114" w:rsidR="00B31790" w:rsidRPr="00B31790" w:rsidRDefault="00F15451" w:rsidP="00B31790">
      <w:pPr>
        <w:pStyle w:val="Paragraphedeliste"/>
        <w:numPr>
          <w:ilvl w:val="1"/>
          <w:numId w:val="13"/>
        </w:numPr>
        <w:spacing w:before="0" w:after="0" w:line="240" w:lineRule="auto"/>
        <w:rPr>
          <w:rFonts w:eastAsia="Times New Roman"/>
          <w:b/>
          <w:bCs/>
        </w:rPr>
      </w:pPr>
      <w:r w:rsidRPr="00F15451">
        <w:rPr>
          <w:rFonts w:eastAsia="Times New Roman"/>
          <w:b/>
          <w:bCs/>
          <w:u w:val="single"/>
        </w:rPr>
        <w:t>A</w:t>
      </w:r>
      <w:r w:rsidR="00B31790" w:rsidRPr="00F15451">
        <w:rPr>
          <w:rFonts w:eastAsia="Times New Roman"/>
          <w:b/>
          <w:bCs/>
          <w:u w:val="single"/>
        </w:rPr>
        <w:t>u titre des périodes d'emploi courant à compter du 1</w:t>
      </w:r>
      <w:r w:rsidRPr="00F15451">
        <w:rPr>
          <w:rFonts w:eastAsia="Times New Roman"/>
          <w:b/>
          <w:bCs/>
          <w:u w:val="single"/>
          <w:vertAlign w:val="superscript"/>
        </w:rPr>
        <w:t>er</w:t>
      </w:r>
      <w:r>
        <w:rPr>
          <w:rFonts w:eastAsia="Times New Roman"/>
          <w:b/>
          <w:bCs/>
          <w:u w:val="single"/>
        </w:rPr>
        <w:t xml:space="preserve"> </w:t>
      </w:r>
      <w:r w:rsidR="00B31790" w:rsidRPr="00F15451">
        <w:rPr>
          <w:rFonts w:eastAsia="Times New Roman"/>
          <w:b/>
          <w:bCs/>
          <w:u w:val="single"/>
        </w:rPr>
        <w:t>octobre 2020</w:t>
      </w:r>
      <w:r>
        <w:rPr>
          <w:rFonts w:eastAsia="Times New Roman"/>
          <w:b/>
          <w:bCs/>
        </w:rPr>
        <w:t> :</w:t>
      </w:r>
    </w:p>
    <w:p w14:paraId="3D66ECA1" w14:textId="6FE6BE20" w:rsidR="00841771" w:rsidRDefault="00841771" w:rsidP="00841771">
      <w:pPr>
        <w:pStyle w:val="Paragraphedeliste"/>
        <w:numPr>
          <w:ilvl w:val="2"/>
          <w:numId w:val="13"/>
        </w:numPr>
        <w:spacing w:before="0" w:after="0" w:line="240" w:lineRule="auto"/>
        <w:rPr>
          <w:rFonts w:eastAsia="Times New Roman"/>
        </w:rPr>
      </w:pPr>
      <w:r>
        <w:rPr>
          <w:rFonts w:eastAsia="Times New Roman"/>
        </w:rPr>
        <w:t xml:space="preserve">Ceux qui sont concernés par les mesures de restriction </w:t>
      </w:r>
      <w:r w:rsidR="00F15451">
        <w:rPr>
          <w:rFonts w:eastAsia="Times New Roman"/>
        </w:rPr>
        <w:t>visées ci-dessus à partir du</w:t>
      </w:r>
      <w:r>
        <w:rPr>
          <w:rFonts w:eastAsia="Times New Roman"/>
        </w:rPr>
        <w:t xml:space="preserve"> 30 octobre 2020 ;</w:t>
      </w:r>
    </w:p>
    <w:p w14:paraId="272980E6" w14:textId="5FA7EFB8" w:rsidR="00841771" w:rsidRPr="00841771" w:rsidRDefault="00B31790" w:rsidP="00841771">
      <w:pPr>
        <w:pStyle w:val="Paragraphedeliste"/>
        <w:numPr>
          <w:ilvl w:val="2"/>
          <w:numId w:val="13"/>
        </w:numPr>
        <w:spacing w:before="0" w:after="0" w:line="240" w:lineRule="auto"/>
        <w:rPr>
          <w:rFonts w:eastAsia="Times New Roman"/>
        </w:rPr>
      </w:pPr>
      <w:r w:rsidRPr="00B47153">
        <w:rPr>
          <w:rFonts w:eastAsia="Times New Roman"/>
        </w:rPr>
        <w:t>ceux établis dans les départements d'outre-mer</w:t>
      </w:r>
      <w:r w:rsidR="00F15451">
        <w:rPr>
          <w:rFonts w:eastAsia="Times New Roman"/>
        </w:rPr>
        <w:t>.</w:t>
      </w:r>
    </w:p>
    <w:bookmarkEnd w:id="3"/>
    <w:p w14:paraId="460030B2" w14:textId="7D11AD19" w:rsidR="00C104FE" w:rsidRPr="007D5ECC" w:rsidRDefault="00C104FE" w:rsidP="00C104FE">
      <w:pPr>
        <w:pStyle w:val="Paragraphedeliste"/>
        <w:spacing w:before="0" w:after="0" w:line="240" w:lineRule="auto"/>
        <w:ind w:left="2880"/>
        <w:rPr>
          <w:rFonts w:eastAsia="Times New Roman"/>
        </w:rPr>
      </w:pPr>
    </w:p>
    <w:p w14:paraId="6CA90349" w14:textId="632E626B" w:rsidR="004D41F0" w:rsidRDefault="00502604" w:rsidP="00B7374E">
      <w:pPr>
        <w:pStyle w:val="Paragraphedeliste"/>
        <w:numPr>
          <w:ilvl w:val="0"/>
          <w:numId w:val="13"/>
        </w:numPr>
        <w:spacing w:before="0" w:after="0" w:line="240" w:lineRule="auto"/>
        <w:ind w:left="1068"/>
        <w:rPr>
          <w:rFonts w:eastAsia="Times New Roman"/>
        </w:rPr>
      </w:pPr>
      <w:r w:rsidRPr="004D41F0">
        <w:rPr>
          <w:rFonts w:eastAsia="Times New Roman"/>
        </w:rPr>
        <w:t xml:space="preserve">Dans les </w:t>
      </w:r>
      <w:r w:rsidRPr="004D41F0">
        <w:rPr>
          <w:rFonts w:eastAsia="Times New Roman"/>
          <w:b/>
          <w:bCs/>
          <w:u w:val="single"/>
        </w:rPr>
        <w:t>secteurs d’activités dépendants</w:t>
      </w:r>
      <w:r w:rsidRPr="004D41F0">
        <w:rPr>
          <w:rFonts w:eastAsia="Times New Roman"/>
        </w:rPr>
        <w:t xml:space="preserve"> des secteurs prioritaires</w:t>
      </w:r>
      <w:r w:rsidR="00C104FE" w:rsidRPr="004D41F0">
        <w:rPr>
          <w:rFonts w:eastAsia="Times New Roman"/>
        </w:rPr>
        <w:t xml:space="preserve">, </w:t>
      </w:r>
      <w:r w:rsidR="000858B0" w:rsidRPr="008F1307">
        <w:rPr>
          <w:rFonts w:eastAsia="Times New Roman"/>
        </w:rPr>
        <w:t>tels que visés par</w:t>
      </w:r>
      <w:r w:rsidR="000858B0">
        <w:rPr>
          <w:rFonts w:eastAsia="Times New Roman"/>
          <w:color w:val="A81815"/>
        </w:rPr>
        <w:t xml:space="preserve"> </w:t>
      </w:r>
      <w:hyperlink r:id="rId17" w:history="1">
        <w:r w:rsidR="000858B0" w:rsidRPr="000858B0">
          <w:rPr>
            <w:rStyle w:val="Lienhypertexte"/>
            <w:rFonts w:eastAsia="Times New Roman"/>
          </w:rPr>
          <w:t xml:space="preserve">l’annexe </w:t>
        </w:r>
        <w:r w:rsidR="000858B0">
          <w:rPr>
            <w:rStyle w:val="Lienhypertexte"/>
            <w:rFonts w:eastAsia="Times New Roman"/>
          </w:rPr>
          <w:t>2</w:t>
        </w:r>
        <w:r w:rsidR="000858B0" w:rsidRPr="000858B0">
          <w:rPr>
            <w:rStyle w:val="Lienhypertexte"/>
            <w:rFonts w:eastAsia="Times New Roman"/>
          </w:rPr>
          <w:t xml:space="preserve"> du décret du 30 mars 2020</w:t>
        </w:r>
      </w:hyperlink>
      <w:r w:rsidR="000858B0">
        <w:rPr>
          <w:rFonts w:eastAsia="Times New Roman"/>
          <w:color w:val="A81815"/>
        </w:rPr>
        <w:t xml:space="preserve"> </w:t>
      </w:r>
      <w:r w:rsidR="000858B0" w:rsidRPr="008F1307">
        <w:rPr>
          <w:rFonts w:eastAsia="Times New Roman"/>
        </w:rPr>
        <w:t>(soit le décret relatif au fonds de solidarité) dans sa version en vigueur au 1</w:t>
      </w:r>
      <w:r w:rsidR="000858B0" w:rsidRPr="008F1307">
        <w:rPr>
          <w:rFonts w:eastAsia="Times New Roman"/>
          <w:vertAlign w:val="superscript"/>
        </w:rPr>
        <w:t>er</w:t>
      </w:r>
      <w:r w:rsidR="000858B0" w:rsidRPr="008F1307">
        <w:rPr>
          <w:rFonts w:eastAsia="Times New Roman"/>
        </w:rPr>
        <w:t xml:space="preserve"> janvier 2021 :</w:t>
      </w:r>
    </w:p>
    <w:p w14:paraId="6EE534B8" w14:textId="117DE8C3" w:rsidR="00841771" w:rsidRPr="00841771" w:rsidRDefault="00841771" w:rsidP="00F15451">
      <w:pPr>
        <w:pStyle w:val="Paragraphedeliste"/>
        <w:numPr>
          <w:ilvl w:val="1"/>
          <w:numId w:val="13"/>
        </w:numPr>
        <w:spacing w:before="0" w:after="0" w:line="240" w:lineRule="auto"/>
        <w:rPr>
          <w:rFonts w:eastAsia="Times New Roman"/>
        </w:rPr>
      </w:pPr>
      <w:r w:rsidRPr="00F15451">
        <w:rPr>
          <w:rFonts w:eastAsia="Times New Roman"/>
          <w:b/>
          <w:bCs/>
          <w:u w:val="single"/>
        </w:rPr>
        <w:t>Au titre des périodes d’emploi courant à compter du 1</w:t>
      </w:r>
      <w:r w:rsidRPr="00F15451">
        <w:rPr>
          <w:rFonts w:eastAsia="Times New Roman"/>
          <w:b/>
          <w:bCs/>
          <w:u w:val="single"/>
          <w:vertAlign w:val="superscript"/>
        </w:rPr>
        <w:t>er</w:t>
      </w:r>
      <w:r w:rsidRPr="00F15451">
        <w:rPr>
          <w:rFonts w:eastAsia="Times New Roman"/>
          <w:b/>
          <w:bCs/>
          <w:u w:val="single"/>
        </w:rPr>
        <w:t xml:space="preserve"> septembre 2020</w:t>
      </w:r>
      <w:r w:rsidR="00F15451">
        <w:rPr>
          <w:rFonts w:eastAsia="Times New Roman"/>
          <w:b/>
          <w:bCs/>
        </w:rPr>
        <w:t xml:space="preserve"> : </w:t>
      </w:r>
      <w:r w:rsidR="00F15451" w:rsidRPr="00F15451">
        <w:rPr>
          <w:rFonts w:eastAsia="Times New Roman"/>
        </w:rPr>
        <w:t>pour toutes les entreprises des secteurs dits dépendants ;</w:t>
      </w:r>
      <w:r w:rsidR="00F15451">
        <w:rPr>
          <w:rFonts w:eastAsia="Times New Roman"/>
          <w:b/>
          <w:bCs/>
        </w:rPr>
        <w:t xml:space="preserve"> </w:t>
      </w:r>
    </w:p>
    <w:p w14:paraId="5F8DABC0" w14:textId="4BE324AA" w:rsidR="004D41F0" w:rsidRPr="00F15451" w:rsidRDefault="004D41F0" w:rsidP="004D41F0">
      <w:pPr>
        <w:pStyle w:val="Paragraphedeliste"/>
        <w:numPr>
          <w:ilvl w:val="1"/>
          <w:numId w:val="13"/>
        </w:numPr>
        <w:spacing w:before="0" w:after="0" w:line="240" w:lineRule="auto"/>
        <w:rPr>
          <w:rFonts w:eastAsia="Times New Roman"/>
          <w:b/>
          <w:bCs/>
          <w:u w:val="single"/>
        </w:rPr>
      </w:pPr>
      <w:r w:rsidRPr="00F15451">
        <w:rPr>
          <w:rFonts w:eastAsia="Times New Roman"/>
          <w:b/>
          <w:bCs/>
          <w:u w:val="single"/>
        </w:rPr>
        <w:t>Au titre des périodes d'emploi courant à compter du 1</w:t>
      </w:r>
      <w:r w:rsidR="00F15451" w:rsidRPr="00F15451">
        <w:rPr>
          <w:rFonts w:eastAsia="Times New Roman"/>
          <w:b/>
          <w:bCs/>
          <w:u w:val="single"/>
          <w:vertAlign w:val="superscript"/>
        </w:rPr>
        <w:t>er</w:t>
      </w:r>
      <w:r w:rsidR="00F15451">
        <w:rPr>
          <w:rFonts w:eastAsia="Times New Roman"/>
          <w:b/>
          <w:bCs/>
          <w:u w:val="single"/>
        </w:rPr>
        <w:t xml:space="preserve"> </w:t>
      </w:r>
      <w:r w:rsidRPr="00F15451">
        <w:rPr>
          <w:rFonts w:eastAsia="Times New Roman"/>
          <w:b/>
          <w:bCs/>
          <w:u w:val="single"/>
        </w:rPr>
        <w:t>octobre 2020</w:t>
      </w:r>
      <w:r w:rsidR="00F15451">
        <w:rPr>
          <w:rFonts w:eastAsia="Times New Roman"/>
          <w:b/>
          <w:bCs/>
          <w:u w:val="single"/>
        </w:rPr>
        <w:t> :</w:t>
      </w:r>
    </w:p>
    <w:p w14:paraId="5902C901" w14:textId="1B752DF4" w:rsidR="004D41F0" w:rsidRPr="00B47153" w:rsidRDefault="004D41F0" w:rsidP="004D41F0">
      <w:pPr>
        <w:pStyle w:val="Paragraphedeliste"/>
        <w:numPr>
          <w:ilvl w:val="2"/>
          <w:numId w:val="13"/>
        </w:numPr>
        <w:spacing w:before="0" w:after="0" w:line="240" w:lineRule="auto"/>
        <w:rPr>
          <w:rFonts w:eastAsia="Times New Roman"/>
        </w:rPr>
      </w:pPr>
      <w:r w:rsidRPr="00B47153">
        <w:rPr>
          <w:rFonts w:eastAsia="Times New Roman"/>
        </w:rPr>
        <w:t xml:space="preserve">pour les employeurs exerçant dans un lieu concerné par les </w:t>
      </w:r>
      <w:r w:rsidRPr="00841771">
        <w:rPr>
          <w:rFonts w:eastAsia="Times New Roman"/>
          <w:b/>
          <w:bCs/>
        </w:rPr>
        <w:t>mesures de réglementation ou d'interdiction de la circulation</w:t>
      </w:r>
      <w:r w:rsidRPr="00B47153">
        <w:rPr>
          <w:rFonts w:eastAsia="Times New Roman"/>
        </w:rPr>
        <w:t xml:space="preserve"> des personnes ou d'accueil du public prises </w:t>
      </w:r>
      <w:r w:rsidRPr="00841771">
        <w:rPr>
          <w:rFonts w:eastAsia="Times New Roman"/>
          <w:b/>
          <w:bCs/>
        </w:rPr>
        <w:t>à compter du 30 octobre 2020</w:t>
      </w:r>
      <w:r w:rsidRPr="00B47153">
        <w:rPr>
          <w:rFonts w:eastAsia="Times New Roman"/>
        </w:rPr>
        <w:t xml:space="preserve"> ;</w:t>
      </w:r>
      <w:r w:rsidRPr="00B47153">
        <w:rPr>
          <w:rFonts w:eastAsia="Times New Roman"/>
          <w:i/>
          <w:iCs/>
        </w:rPr>
        <w:t xml:space="preserve"> </w:t>
      </w:r>
      <w:r>
        <w:rPr>
          <w:rFonts w:ascii="Calibri Light" w:eastAsia="Times New Roman" w:hAnsi="Calibri Light" w:cs="Calibri Light"/>
          <w:i/>
          <w:iCs/>
        </w:rPr>
        <w:t>→</w:t>
      </w:r>
      <w:r>
        <w:rPr>
          <w:rFonts w:eastAsia="Times New Roman"/>
          <w:i/>
          <w:iCs/>
        </w:rPr>
        <w:t xml:space="preserve">Sont ici visé les mesures contraignantes lié au second confinement sur  tout le territoire national. </w:t>
      </w:r>
    </w:p>
    <w:p w14:paraId="5AE6068D" w14:textId="77777777" w:rsidR="004D41F0" w:rsidRPr="00B47153" w:rsidRDefault="004D41F0" w:rsidP="004D41F0">
      <w:pPr>
        <w:pStyle w:val="Paragraphedeliste"/>
        <w:numPr>
          <w:ilvl w:val="2"/>
          <w:numId w:val="13"/>
        </w:numPr>
        <w:spacing w:before="0" w:after="0" w:line="240" w:lineRule="auto"/>
        <w:rPr>
          <w:rFonts w:eastAsia="Times New Roman"/>
        </w:rPr>
      </w:pPr>
      <w:r w:rsidRPr="00B47153">
        <w:rPr>
          <w:rFonts w:eastAsia="Times New Roman"/>
        </w:rPr>
        <w:t>pour ceux établis dans les départements d'outre-mer.</w:t>
      </w:r>
    </w:p>
    <w:p w14:paraId="72A215E4" w14:textId="77777777" w:rsidR="000E7DE4" w:rsidRDefault="000E7DE4" w:rsidP="004D41F0">
      <w:pPr>
        <w:pStyle w:val="Paragraphedeliste"/>
        <w:spacing w:before="0" w:after="0" w:line="240" w:lineRule="auto"/>
        <w:ind w:left="1068"/>
        <w:rPr>
          <w:rFonts w:eastAsia="Times New Roman"/>
        </w:rPr>
      </w:pPr>
    </w:p>
    <w:p w14:paraId="61B657AD" w14:textId="4C43E171" w:rsidR="00502604" w:rsidRPr="004D41F0" w:rsidRDefault="000E7DE4" w:rsidP="000E7DE4">
      <w:pPr>
        <w:pStyle w:val="Paragraphedeliste"/>
        <w:spacing w:before="0" w:after="0" w:line="240" w:lineRule="auto"/>
        <w:ind w:left="708"/>
        <w:rPr>
          <w:rFonts w:eastAsia="Times New Roman"/>
        </w:rPr>
      </w:pPr>
      <w:r>
        <w:rPr>
          <w:rFonts w:eastAsia="Times New Roman"/>
        </w:rPr>
        <w:t xml:space="preserve">Que l’employeur de moins de 250 salariés appartienne à un secteur prioritaire ou dépendant, pour bénéficier de l’exonération il devra aussi remplir </w:t>
      </w:r>
      <w:r w:rsidR="00C104FE" w:rsidRPr="004D41F0">
        <w:rPr>
          <w:rFonts w:eastAsia="Times New Roman"/>
        </w:rPr>
        <w:t xml:space="preserve">une des </w:t>
      </w:r>
      <w:r w:rsidR="00C104FE" w:rsidRPr="000E7DE4">
        <w:rPr>
          <w:rFonts w:eastAsia="Times New Roman"/>
          <w:b/>
          <w:bCs/>
        </w:rPr>
        <w:t>condition</w:t>
      </w:r>
      <w:r w:rsidR="004D41F0" w:rsidRPr="000E7DE4">
        <w:rPr>
          <w:rFonts w:eastAsia="Times New Roman"/>
          <w:b/>
          <w:bCs/>
        </w:rPr>
        <w:t>s</w:t>
      </w:r>
      <w:r w:rsidR="00C104FE" w:rsidRPr="000E7DE4">
        <w:rPr>
          <w:rFonts w:eastAsia="Times New Roman"/>
          <w:b/>
          <w:bCs/>
        </w:rPr>
        <w:t xml:space="preserve"> alternative</w:t>
      </w:r>
      <w:r w:rsidR="004D41F0" w:rsidRPr="000E7DE4">
        <w:rPr>
          <w:rFonts w:eastAsia="Times New Roman"/>
          <w:b/>
          <w:bCs/>
        </w:rPr>
        <w:t>s</w:t>
      </w:r>
      <w:r w:rsidR="00C104FE" w:rsidRPr="004D41F0">
        <w:rPr>
          <w:rFonts w:eastAsia="Times New Roman"/>
        </w:rPr>
        <w:t xml:space="preserve"> suivante : </w:t>
      </w:r>
    </w:p>
    <w:p w14:paraId="6645B97C" w14:textId="3258C043" w:rsidR="00B31790" w:rsidRPr="00F15451" w:rsidRDefault="00B31790" w:rsidP="00F15451">
      <w:pPr>
        <w:pStyle w:val="Paragraphedeliste"/>
        <w:numPr>
          <w:ilvl w:val="0"/>
          <w:numId w:val="15"/>
        </w:numPr>
        <w:spacing w:before="0" w:after="0" w:line="240" w:lineRule="auto"/>
        <w:rPr>
          <w:rFonts w:eastAsia="Times New Roman"/>
        </w:rPr>
      </w:pPr>
      <w:r>
        <w:rPr>
          <w:rFonts w:eastAsia="Times New Roman"/>
        </w:rPr>
        <w:t>Avoir,</w:t>
      </w:r>
      <w:r w:rsidRPr="00B31790">
        <w:t xml:space="preserve"> </w:t>
      </w:r>
      <w:r w:rsidRPr="00B31790">
        <w:rPr>
          <w:rFonts w:eastAsia="Times New Roman"/>
        </w:rPr>
        <w:t>au cours du mois suivant celui au titre duquel l'exonération est applicable</w:t>
      </w:r>
      <w:r>
        <w:rPr>
          <w:rFonts w:eastAsia="Times New Roman"/>
        </w:rPr>
        <w:t>, fait</w:t>
      </w:r>
      <w:r w:rsidR="00844351">
        <w:rPr>
          <w:rFonts w:eastAsia="Times New Roman"/>
        </w:rPr>
        <w:t xml:space="preserve"> l’objet d’une </w:t>
      </w:r>
      <w:r w:rsidR="00844351" w:rsidRPr="00573639">
        <w:rPr>
          <w:rFonts w:eastAsia="Times New Roman"/>
          <w:b/>
          <w:bCs/>
        </w:rPr>
        <w:t>mesure d’interdiction d’accueil du public</w:t>
      </w:r>
      <w:r w:rsidR="00844351">
        <w:rPr>
          <w:rFonts w:eastAsia="Times New Roman"/>
        </w:rPr>
        <w:t xml:space="preserve"> (à l’exception des activités de livraison, de retrait de commande ou de vente à emporter)</w:t>
      </w:r>
      <w:r>
        <w:rPr>
          <w:rFonts w:eastAsia="Times New Roman"/>
        </w:rPr>
        <w:t xml:space="preserve"> </w:t>
      </w:r>
      <w:r w:rsidRPr="00B31790">
        <w:rPr>
          <w:rFonts w:ascii="Arial" w:eastAsia="Times New Roman" w:hAnsi="Arial" w:cs="Arial"/>
        </w:rPr>
        <w:t>→</w:t>
      </w:r>
      <w:r w:rsidRPr="00B31790">
        <w:rPr>
          <w:rFonts w:eastAsia="Times New Roman"/>
        </w:rPr>
        <w:t xml:space="preserve"> </w:t>
      </w:r>
      <w:r>
        <w:rPr>
          <w:rFonts w:eastAsia="Times New Roman"/>
        </w:rPr>
        <w:t>I</w:t>
      </w:r>
      <w:r w:rsidRPr="00B31790">
        <w:rPr>
          <w:rFonts w:eastAsia="Times New Roman"/>
        </w:rPr>
        <w:t>l s'agit de couvrir les commerces qualifiés de « non essentiels » fermés sur l'ensemble du territoire</w:t>
      </w:r>
      <w:r>
        <w:rPr>
          <w:rFonts w:eastAsia="Times New Roman"/>
        </w:rPr>
        <w:t xml:space="preserve"> (habillement, fleuristes, bijouterie …)</w:t>
      </w:r>
    </w:p>
    <w:p w14:paraId="4E92E426" w14:textId="36EF3986" w:rsidR="000858B0" w:rsidRPr="00351A2B" w:rsidRDefault="00AF3F16" w:rsidP="00D45B6C">
      <w:pPr>
        <w:pStyle w:val="Paragraphedeliste"/>
        <w:numPr>
          <w:ilvl w:val="0"/>
          <w:numId w:val="15"/>
        </w:numPr>
        <w:spacing w:before="0" w:after="0" w:line="240" w:lineRule="auto"/>
        <w:rPr>
          <w:rFonts w:eastAsia="Times New Roman"/>
        </w:rPr>
      </w:pPr>
      <w:r w:rsidRPr="000E7DE4">
        <w:rPr>
          <w:rFonts w:eastAsia="Times New Roman"/>
          <w:b/>
          <w:bCs/>
          <w:u w:val="single"/>
        </w:rPr>
        <w:t xml:space="preserve">Ou </w:t>
      </w:r>
      <w:r w:rsidR="00844351" w:rsidRPr="00573639">
        <w:rPr>
          <w:rFonts w:eastAsia="Times New Roman"/>
          <w:b/>
          <w:bCs/>
        </w:rPr>
        <w:t>constaté une baisse de CA d’au moins 50%</w:t>
      </w:r>
      <w:r w:rsidR="00844351">
        <w:rPr>
          <w:rFonts w:eastAsia="Times New Roman"/>
        </w:rPr>
        <w:t xml:space="preserve"> par rapport </w:t>
      </w:r>
      <w:r w:rsidR="000858B0" w:rsidRPr="00351A2B">
        <w:rPr>
          <w:rFonts w:eastAsia="Times New Roman"/>
        </w:rPr>
        <w:t>(au choix) :</w:t>
      </w:r>
    </w:p>
    <w:p w14:paraId="23BBF5FA" w14:textId="2E5ACDDF" w:rsidR="00844351" w:rsidRPr="00351A2B" w:rsidRDefault="000858B0" w:rsidP="000858B0">
      <w:pPr>
        <w:pStyle w:val="Paragraphedeliste"/>
        <w:numPr>
          <w:ilvl w:val="1"/>
          <w:numId w:val="15"/>
        </w:numPr>
        <w:spacing w:before="0" w:after="0" w:line="240" w:lineRule="auto"/>
        <w:rPr>
          <w:rFonts w:eastAsia="Times New Roman"/>
        </w:rPr>
      </w:pPr>
      <w:r w:rsidRPr="00351A2B">
        <w:rPr>
          <w:rFonts w:eastAsia="Times New Roman"/>
        </w:rPr>
        <w:t>Au CA du même mois de l</w:t>
      </w:r>
      <w:r w:rsidR="00844351" w:rsidRPr="00351A2B">
        <w:rPr>
          <w:rFonts w:eastAsia="Times New Roman"/>
        </w:rPr>
        <w:t>’année précédente</w:t>
      </w:r>
      <w:r w:rsidRPr="00351A2B">
        <w:rPr>
          <w:rFonts w:eastAsia="Times New Roman"/>
        </w:rPr>
        <w:t xml:space="preserve"> ; </w:t>
      </w:r>
    </w:p>
    <w:p w14:paraId="703A4FD1" w14:textId="571844A8" w:rsidR="000858B0" w:rsidRPr="008F1307" w:rsidRDefault="000858B0" w:rsidP="000858B0">
      <w:pPr>
        <w:pStyle w:val="Paragraphedeliste"/>
        <w:numPr>
          <w:ilvl w:val="1"/>
          <w:numId w:val="15"/>
        </w:numPr>
        <w:spacing w:before="0" w:after="0" w:line="240" w:lineRule="auto"/>
        <w:rPr>
          <w:rFonts w:eastAsia="Times New Roman"/>
        </w:rPr>
      </w:pPr>
      <w:r w:rsidRPr="008F1307">
        <w:rPr>
          <w:rFonts w:eastAsia="Times New Roman"/>
        </w:rPr>
        <w:t xml:space="preserve">Au CA mensuel moyen de l’année 2019 ; </w:t>
      </w:r>
    </w:p>
    <w:p w14:paraId="590ED000" w14:textId="3924E292" w:rsidR="000858B0" w:rsidRPr="008F1307" w:rsidRDefault="000858B0" w:rsidP="000858B0">
      <w:pPr>
        <w:pStyle w:val="Paragraphedeliste"/>
        <w:numPr>
          <w:ilvl w:val="1"/>
          <w:numId w:val="15"/>
        </w:numPr>
        <w:spacing w:before="0" w:after="0" w:line="240" w:lineRule="auto"/>
        <w:rPr>
          <w:rFonts w:eastAsia="Times New Roman"/>
        </w:rPr>
      </w:pPr>
      <w:r w:rsidRPr="008F1307">
        <w:rPr>
          <w:rFonts w:eastAsia="Times New Roman"/>
        </w:rPr>
        <w:t>Pour les entreprises créées en 2020, au montant mensuel moyen du CA réalisé entre la date de création de l’entreprise et le 31 ao</w:t>
      </w:r>
      <w:r w:rsidR="00BC79F7" w:rsidRPr="008F1307">
        <w:rPr>
          <w:rFonts w:eastAsia="Times New Roman"/>
        </w:rPr>
        <w:t>û</w:t>
      </w:r>
      <w:r w:rsidRPr="008F1307">
        <w:rPr>
          <w:rFonts w:eastAsia="Times New Roman"/>
        </w:rPr>
        <w:t xml:space="preserve">t 2020. </w:t>
      </w:r>
    </w:p>
    <w:p w14:paraId="56FC1FAA" w14:textId="4CA0D64C" w:rsidR="00AC4DFA" w:rsidRDefault="00AC4DFA" w:rsidP="00AC4DFA">
      <w:pPr>
        <w:spacing w:before="0" w:after="0" w:line="240" w:lineRule="auto"/>
        <w:ind w:left="1788"/>
        <w:rPr>
          <w:rFonts w:eastAsia="Times New Roman"/>
        </w:rPr>
      </w:pPr>
      <w:r w:rsidRPr="008F1307">
        <w:rPr>
          <w:rFonts w:eastAsia="Times New Roman"/>
        </w:rPr>
        <w:t>La condition est également satisfaite lorsque la baisse du CA mensuel par rapport à la même période de l’année précédente représente au moins 15% du CA de l’année 2019 ou, pour les entreprises créées en 2019 du CA de l’année 2019 ramené sur 12 mois.</w:t>
      </w:r>
    </w:p>
    <w:p w14:paraId="5149F00F" w14:textId="5B3E0CC3" w:rsidR="00402EFE" w:rsidRPr="00402EFE" w:rsidRDefault="00402EFE" w:rsidP="00AC4DFA">
      <w:pPr>
        <w:spacing w:before="0" w:after="0" w:line="240" w:lineRule="auto"/>
        <w:ind w:left="1788"/>
        <w:rPr>
          <w:rFonts w:eastAsia="Times New Roman"/>
          <w:color w:val="A81815"/>
        </w:rPr>
      </w:pPr>
      <w:r>
        <w:rPr>
          <w:rFonts w:eastAsia="Times New Roman"/>
          <w:color w:val="A81815"/>
        </w:rPr>
        <w:t>Le décret du 3 juin précise enfin, que la condition de baisse de 50% du CA peut continuer à être appréci</w:t>
      </w:r>
      <w:r w:rsidR="0037114E">
        <w:rPr>
          <w:rFonts w:eastAsia="Times New Roman"/>
          <w:color w:val="A81815"/>
        </w:rPr>
        <w:t>ée</w:t>
      </w:r>
      <w:r>
        <w:rPr>
          <w:rFonts w:eastAsia="Times New Roman"/>
          <w:color w:val="A81815"/>
        </w:rPr>
        <w:t xml:space="preserve"> en 2021 par rapport au CA du même mois de l’année 2019 si cette comparaison est plus favorable pour l’entreprise qu’une appréciation par rapport au même mois de 2020. </w:t>
      </w:r>
    </w:p>
    <w:p w14:paraId="4E56869A" w14:textId="2A6B525F" w:rsidR="00502604" w:rsidRPr="00502604" w:rsidRDefault="00502604" w:rsidP="00D45B6C">
      <w:pPr>
        <w:spacing w:before="0" w:after="0" w:line="240" w:lineRule="auto"/>
        <w:ind w:left="708"/>
        <w:rPr>
          <w:rFonts w:eastAsia="Times New Roman"/>
        </w:rPr>
      </w:pPr>
    </w:p>
    <w:tbl>
      <w:tblPr>
        <w:tblStyle w:val="Grilledutableau"/>
        <w:tblW w:w="0" w:type="auto"/>
        <w:tblInd w:w="708" w:type="dxa"/>
        <w:tblLook w:val="04A0" w:firstRow="1" w:lastRow="0" w:firstColumn="1" w:lastColumn="0" w:noHBand="0" w:noVBand="1"/>
      </w:tblPr>
      <w:tblGrid>
        <w:gridCol w:w="8354"/>
      </w:tblGrid>
      <w:tr w:rsidR="007847BA" w14:paraId="3A1A0054" w14:textId="77777777" w:rsidTr="00AC4DFA">
        <w:tc>
          <w:tcPr>
            <w:tcW w:w="8354" w:type="dxa"/>
          </w:tcPr>
          <w:p w14:paraId="6BE4DEB3" w14:textId="1160BA6C" w:rsidR="007847BA" w:rsidRPr="007847BA" w:rsidRDefault="007847BA" w:rsidP="007847BA">
            <w:pPr>
              <w:rPr>
                <w:rFonts w:eastAsia="Times New Roman"/>
              </w:rPr>
            </w:pPr>
            <w:r w:rsidRPr="007847BA">
              <w:rPr>
                <w:rFonts w:eastAsia="Times New Roman"/>
                <w:b/>
                <w:bCs/>
                <w:u w:val="single"/>
              </w:rPr>
              <w:t>Réduction des cotisations des mandataires sociaux</w:t>
            </w:r>
            <w:r>
              <w:rPr>
                <w:rFonts w:eastAsia="Times New Roman"/>
                <w:b/>
                <w:bCs/>
              </w:rPr>
              <w:t xml:space="preserve"> </w:t>
            </w:r>
            <w:r w:rsidRPr="007847BA">
              <w:rPr>
                <w:rFonts w:eastAsia="Times New Roman"/>
                <w:i/>
                <w:iCs/>
              </w:rPr>
              <w:t xml:space="preserve">(les gérants de </w:t>
            </w:r>
            <w:r w:rsidRPr="007847BA">
              <w:rPr>
                <w:rFonts w:eastAsia="Times New Roman"/>
                <w:b/>
                <w:bCs/>
                <w:i/>
                <w:iCs/>
              </w:rPr>
              <w:t>SARL</w:t>
            </w:r>
            <w:r w:rsidRPr="007847BA">
              <w:rPr>
                <w:rFonts w:eastAsia="Times New Roman"/>
                <w:i/>
                <w:iCs/>
              </w:rPr>
              <w:t xml:space="preserve"> et de </w:t>
            </w:r>
            <w:r w:rsidRPr="007847BA">
              <w:rPr>
                <w:rFonts w:eastAsia="Times New Roman"/>
                <w:b/>
                <w:bCs/>
                <w:i/>
                <w:iCs/>
              </w:rPr>
              <w:t>Selarl</w:t>
            </w:r>
            <w:r w:rsidRPr="007847BA">
              <w:rPr>
                <w:rFonts w:eastAsia="Times New Roman"/>
                <w:i/>
                <w:iCs/>
              </w:rPr>
              <w:t xml:space="preserve">, si lesdits gérants ne possèdent pas ensemble plus de 50 % du capital social ; les présidents du conseil d'administration, directeurs généraux et directeurs généraux délégués des </w:t>
            </w:r>
            <w:r w:rsidRPr="007847BA">
              <w:rPr>
                <w:rFonts w:eastAsia="Times New Roman"/>
                <w:b/>
                <w:bCs/>
                <w:i/>
                <w:iCs/>
              </w:rPr>
              <w:t>sociétés anonymes</w:t>
            </w:r>
            <w:r w:rsidRPr="007847BA">
              <w:rPr>
                <w:rFonts w:eastAsia="Times New Roman"/>
                <w:i/>
                <w:iCs/>
              </w:rPr>
              <w:t xml:space="preserve"> et des </w:t>
            </w:r>
            <w:r w:rsidRPr="007847BA">
              <w:rPr>
                <w:rFonts w:eastAsia="Times New Roman"/>
                <w:b/>
                <w:bCs/>
                <w:i/>
                <w:iCs/>
              </w:rPr>
              <w:t>Selafa</w:t>
            </w:r>
            <w:r w:rsidRPr="007847BA">
              <w:rPr>
                <w:rFonts w:eastAsia="Times New Roman"/>
                <w:i/>
                <w:iCs/>
              </w:rPr>
              <w:t xml:space="preserve"> ainsi que les directeurs </w:t>
            </w:r>
            <w:r w:rsidRPr="007847BA">
              <w:rPr>
                <w:rFonts w:eastAsia="Times New Roman"/>
                <w:i/>
                <w:iCs/>
              </w:rPr>
              <w:lastRenderedPageBreak/>
              <w:t xml:space="preserve">généraux et directeurs généraux délégués des institutions de prévoyance, des </w:t>
            </w:r>
            <w:r w:rsidRPr="007847BA">
              <w:rPr>
                <w:rFonts w:eastAsia="Times New Roman"/>
                <w:b/>
                <w:bCs/>
                <w:i/>
                <w:iCs/>
              </w:rPr>
              <w:t>unions d'institutions de prévoyance et des sociétés de groupe assurantiel de protection sociale</w:t>
            </w:r>
            <w:r w:rsidRPr="007847BA">
              <w:rPr>
                <w:rFonts w:eastAsia="Times New Roman"/>
                <w:i/>
                <w:iCs/>
              </w:rPr>
              <w:t xml:space="preserve"> ; les membres des </w:t>
            </w:r>
            <w:r w:rsidRPr="007847BA">
              <w:rPr>
                <w:rFonts w:eastAsia="Times New Roman"/>
                <w:b/>
                <w:bCs/>
                <w:i/>
                <w:iCs/>
              </w:rPr>
              <w:t>Scop</w:t>
            </w:r>
            <w:r w:rsidRPr="007847BA">
              <w:rPr>
                <w:rFonts w:eastAsia="Times New Roman"/>
                <w:i/>
                <w:iCs/>
              </w:rPr>
              <w:t xml:space="preserve"> ; les gérants, les directeurs généraux, les présidents du conseil d'administration et les membres du directoire </w:t>
            </w:r>
            <w:r w:rsidRPr="007847BA">
              <w:rPr>
                <w:rFonts w:eastAsia="Times New Roman"/>
                <w:b/>
                <w:bCs/>
                <w:i/>
                <w:iCs/>
              </w:rPr>
              <w:t xml:space="preserve">des mêmes coopératives </w:t>
            </w:r>
            <w:r w:rsidRPr="007847BA">
              <w:rPr>
                <w:rFonts w:eastAsia="Times New Roman"/>
                <w:i/>
                <w:iCs/>
              </w:rPr>
              <w:t>lorsqu'ils perçoivent une rémunération au titre de leurs fonctions et qu'ils n'occupent pas d'emploi salarié dans cette même société ; les dirigeants d'</w:t>
            </w:r>
            <w:r w:rsidRPr="007847BA">
              <w:rPr>
                <w:rFonts w:eastAsia="Times New Roman"/>
                <w:b/>
                <w:bCs/>
                <w:i/>
                <w:iCs/>
              </w:rPr>
              <w:t>associations ;</w:t>
            </w:r>
            <w:r w:rsidRPr="007847BA">
              <w:rPr>
                <w:rFonts w:eastAsia="Times New Roman"/>
                <w:i/>
                <w:iCs/>
              </w:rPr>
              <w:t xml:space="preserve"> les présidents et dirigeants des </w:t>
            </w:r>
            <w:r w:rsidRPr="007847BA">
              <w:rPr>
                <w:rFonts w:eastAsia="Times New Roman"/>
                <w:b/>
                <w:bCs/>
                <w:i/>
                <w:iCs/>
              </w:rPr>
              <w:t xml:space="preserve">SAS </w:t>
            </w:r>
            <w:r w:rsidRPr="007847BA">
              <w:rPr>
                <w:rFonts w:eastAsia="Times New Roman"/>
                <w:i/>
                <w:iCs/>
              </w:rPr>
              <w:t xml:space="preserve">et </w:t>
            </w:r>
            <w:r w:rsidRPr="007847BA">
              <w:rPr>
                <w:rFonts w:eastAsia="Times New Roman"/>
                <w:b/>
                <w:bCs/>
                <w:i/>
                <w:iCs/>
              </w:rPr>
              <w:t>Selas</w:t>
            </w:r>
            <w:r w:rsidRPr="007847BA">
              <w:rPr>
                <w:rFonts w:eastAsia="Times New Roman"/>
                <w:i/>
                <w:iCs/>
              </w:rPr>
              <w:t>)</w:t>
            </w:r>
            <w:r w:rsidR="00841771">
              <w:rPr>
                <w:rFonts w:eastAsia="Times New Roman"/>
                <w:i/>
                <w:iCs/>
              </w:rPr>
              <w:t xml:space="preserve">. </w:t>
            </w:r>
          </w:p>
          <w:p w14:paraId="40F8F24A" w14:textId="77777777" w:rsidR="007847BA" w:rsidRDefault="007847BA" w:rsidP="00AF3F16">
            <w:pPr>
              <w:rPr>
                <w:rFonts w:eastAsia="Times New Roman"/>
              </w:rPr>
            </w:pPr>
            <w:r>
              <w:rPr>
                <w:rFonts w:eastAsia="Times New Roman"/>
              </w:rPr>
              <w:t>L</w:t>
            </w:r>
            <w:r w:rsidRPr="007847BA">
              <w:rPr>
                <w:rFonts w:eastAsia="Times New Roman"/>
              </w:rPr>
              <w:t>es entreprises de moins de 250 salariés ayant droit à cette exonération pour leurs salariés ont également droit à la réduction spécifique pour leurs mandataires sociaux assimilés à des salariés.</w:t>
            </w:r>
          </w:p>
          <w:p w14:paraId="6E07BE3C" w14:textId="6DA4868C" w:rsidR="007847BA" w:rsidRDefault="007847BA" w:rsidP="00AF3F16">
            <w:pPr>
              <w:rPr>
                <w:rFonts w:eastAsia="Times New Roman"/>
              </w:rPr>
            </w:pPr>
            <w:r>
              <w:rPr>
                <w:rFonts w:eastAsia="Times New Roman"/>
              </w:rPr>
              <w:t xml:space="preserve">Un décret d’application est néanmoins attendu. </w:t>
            </w:r>
          </w:p>
        </w:tc>
      </w:tr>
    </w:tbl>
    <w:p w14:paraId="5C5608DB" w14:textId="35BDC843" w:rsidR="00D45B6C" w:rsidRPr="008F1307" w:rsidRDefault="00D45B6C" w:rsidP="00D45B6C">
      <w:pPr>
        <w:rPr>
          <w:rFonts w:eastAsia="Times New Roman"/>
        </w:rPr>
      </w:pPr>
    </w:p>
    <w:p w14:paraId="373B6DCC" w14:textId="4F2DF9EF" w:rsidR="00AE5803" w:rsidRPr="008F1307" w:rsidRDefault="00AE5803" w:rsidP="00D45B6C">
      <w:pPr>
        <w:rPr>
          <w:rFonts w:eastAsia="Times New Roman"/>
        </w:rPr>
      </w:pPr>
      <w:r w:rsidRPr="008F1307">
        <w:rPr>
          <w:rFonts w:eastAsia="Times New Roman"/>
        </w:rPr>
        <w:t xml:space="preserve">Ces dispositions sont applicables pour les </w:t>
      </w:r>
      <w:r w:rsidRPr="008F1307">
        <w:rPr>
          <w:rFonts w:eastAsia="Times New Roman"/>
          <w:b/>
          <w:bCs/>
        </w:rPr>
        <w:t xml:space="preserve">périodes d'emploi courant jusqu'au </w:t>
      </w:r>
      <w:r w:rsidR="00402EFE">
        <w:rPr>
          <w:rFonts w:eastAsia="Times New Roman"/>
          <w:b/>
          <w:bCs/>
          <w:color w:val="A81815"/>
        </w:rPr>
        <w:t>30 avril</w:t>
      </w:r>
      <w:r w:rsidR="0002310E">
        <w:rPr>
          <w:rFonts w:eastAsia="Times New Roman"/>
          <w:b/>
          <w:bCs/>
          <w:color w:val="A81815"/>
        </w:rPr>
        <w:t xml:space="preserve"> 2021 </w:t>
      </w:r>
      <w:r w:rsidRPr="00082F2A">
        <w:rPr>
          <w:rFonts w:eastAsia="Times New Roman"/>
          <w:color w:val="A81815"/>
        </w:rPr>
        <w:t>ou, pour les employeurs pour lesquels l'interdiction d'accueil du public aurait été prolongée, jusqu'au dernier jour du mois précédant celui de l'autorisation d'accueil du public.</w:t>
      </w:r>
    </w:p>
    <w:p w14:paraId="4CFADC47" w14:textId="77777777" w:rsidR="00B9655E" w:rsidRPr="008F1307" w:rsidRDefault="00B9655E" w:rsidP="00D45B6C">
      <w:pPr>
        <w:rPr>
          <w:rFonts w:eastAsia="Times New Roman"/>
        </w:rPr>
      </w:pPr>
    </w:p>
    <w:p w14:paraId="75250BF1" w14:textId="089338A6" w:rsidR="00AF3F16" w:rsidRPr="000E7DE4" w:rsidRDefault="00844351" w:rsidP="002027C9">
      <w:pPr>
        <w:pStyle w:val="Paragraphedeliste"/>
        <w:numPr>
          <w:ilvl w:val="0"/>
          <w:numId w:val="14"/>
        </w:numPr>
        <w:rPr>
          <w:rFonts w:eastAsia="Times New Roman"/>
        </w:rPr>
      </w:pPr>
      <w:r w:rsidRPr="000E7DE4">
        <w:rPr>
          <w:rFonts w:eastAsia="Times New Roman"/>
          <w:u w:val="single"/>
        </w:rPr>
        <w:t>Pour les employeurs de moins de 50 salariés</w:t>
      </w:r>
      <w:r w:rsidR="000E7DE4" w:rsidRPr="000E7DE4">
        <w:rPr>
          <w:rFonts w:eastAsia="Times New Roman"/>
        </w:rPr>
        <w:t xml:space="preserve">, au titre des périodes d'emploi courant à </w:t>
      </w:r>
      <w:r w:rsidR="000E7DE4" w:rsidRPr="00841771">
        <w:rPr>
          <w:rFonts w:eastAsia="Times New Roman"/>
          <w:b/>
          <w:bCs/>
        </w:rPr>
        <w:t>compter du 1</w:t>
      </w:r>
      <w:r w:rsidR="000E7DE4" w:rsidRPr="00841771">
        <w:rPr>
          <w:rFonts w:eastAsia="Times New Roman"/>
          <w:b/>
          <w:bCs/>
          <w:vertAlign w:val="superscript"/>
        </w:rPr>
        <w:t>er</w:t>
      </w:r>
      <w:r w:rsidR="000E7DE4" w:rsidRPr="00841771">
        <w:rPr>
          <w:rFonts w:eastAsia="Times New Roman"/>
          <w:b/>
          <w:bCs/>
        </w:rPr>
        <w:t xml:space="preserve"> octobre 2020</w:t>
      </w:r>
      <w:r w:rsidR="000E7DE4" w:rsidRPr="000E7DE4">
        <w:rPr>
          <w:rFonts w:eastAsia="Times New Roman"/>
        </w:rPr>
        <w:t xml:space="preserve">, pour les employeurs exerçant dans un lieu concerné par les </w:t>
      </w:r>
      <w:r w:rsidR="000E7DE4" w:rsidRPr="00841771">
        <w:rPr>
          <w:rFonts w:eastAsia="Times New Roman"/>
          <w:b/>
          <w:bCs/>
        </w:rPr>
        <w:t>mesures de réglementation ou d'interdiction</w:t>
      </w:r>
      <w:r w:rsidR="000E7DE4" w:rsidRPr="000E7DE4">
        <w:rPr>
          <w:rFonts w:eastAsia="Times New Roman"/>
        </w:rPr>
        <w:t xml:space="preserve"> de la circulation des personnes ou d'accueil du public </w:t>
      </w:r>
      <w:r w:rsidR="000E7DE4" w:rsidRPr="00841771">
        <w:rPr>
          <w:rFonts w:eastAsia="Times New Roman"/>
          <w:b/>
          <w:bCs/>
        </w:rPr>
        <w:t>prises à compter du 30 octobre 2020</w:t>
      </w:r>
      <w:r w:rsidR="000E7DE4" w:rsidRPr="000E7DE4">
        <w:rPr>
          <w:rFonts w:eastAsia="Times New Roman"/>
        </w:rPr>
        <w:t xml:space="preserve"> ; </w:t>
      </w:r>
      <w:r w:rsidR="000E7DE4" w:rsidRPr="000E7DE4">
        <w:rPr>
          <w:rFonts w:ascii="Arial" w:eastAsia="Times New Roman" w:hAnsi="Arial" w:cs="Arial"/>
          <w:i/>
          <w:iCs/>
        </w:rPr>
        <w:t>→</w:t>
      </w:r>
      <w:r w:rsidR="000E7DE4" w:rsidRPr="000E7DE4">
        <w:rPr>
          <w:rFonts w:eastAsia="Times New Roman"/>
          <w:i/>
          <w:iCs/>
        </w:rPr>
        <w:t>Sont ici vis</w:t>
      </w:r>
      <w:r w:rsidR="000E7DE4" w:rsidRPr="000E7DE4">
        <w:rPr>
          <w:rFonts w:eastAsia="Times New Roman" w:cs="Avenir LT Std 35 Light"/>
          <w:i/>
          <w:iCs/>
        </w:rPr>
        <w:t>é</w:t>
      </w:r>
      <w:r w:rsidR="000E7DE4" w:rsidRPr="000E7DE4">
        <w:rPr>
          <w:rFonts w:eastAsia="Times New Roman"/>
          <w:i/>
          <w:iCs/>
        </w:rPr>
        <w:t xml:space="preserve"> les mesures contraignantes li</w:t>
      </w:r>
      <w:r w:rsidR="000E7DE4" w:rsidRPr="000E7DE4">
        <w:rPr>
          <w:rFonts w:eastAsia="Times New Roman" w:cs="Avenir LT Std 35 Light"/>
          <w:i/>
          <w:iCs/>
        </w:rPr>
        <w:t>é</w:t>
      </w:r>
      <w:r w:rsidR="000E7DE4" w:rsidRPr="000E7DE4">
        <w:rPr>
          <w:rFonts w:eastAsia="Times New Roman"/>
          <w:i/>
          <w:iCs/>
        </w:rPr>
        <w:t xml:space="preserve"> au second confinement sur  tout le territoire national</w:t>
      </w:r>
      <w:r w:rsidR="00B61B64">
        <w:rPr>
          <w:rFonts w:eastAsia="Times New Roman"/>
          <w:i/>
          <w:iCs/>
        </w:rPr>
        <w:t xml:space="preserve">, </w:t>
      </w:r>
      <w:r w:rsidR="00B61B64" w:rsidRPr="00B61B64">
        <w:rPr>
          <w:rFonts w:eastAsia="Times New Roman"/>
        </w:rPr>
        <w:t>e</w:t>
      </w:r>
      <w:r w:rsidR="000E7DE4" w:rsidRPr="000E7DE4">
        <w:rPr>
          <w:rFonts w:eastAsia="Times New Roman"/>
        </w:rPr>
        <w:t xml:space="preserve">t pour ceux établis dans les départements d'outre-mer, </w:t>
      </w:r>
      <w:r w:rsidR="00AF3F16" w:rsidRPr="000E7DE4">
        <w:rPr>
          <w:rFonts w:eastAsia="Times New Roman"/>
        </w:rPr>
        <w:t xml:space="preserve">répondants aux </w:t>
      </w:r>
      <w:r w:rsidR="00AF3F16" w:rsidRPr="00841771">
        <w:rPr>
          <w:rFonts w:eastAsia="Times New Roman"/>
          <w:b/>
          <w:bCs/>
        </w:rPr>
        <w:t>conditions cumulatives</w:t>
      </w:r>
      <w:r w:rsidR="00AF3F16" w:rsidRPr="000E7DE4">
        <w:rPr>
          <w:rFonts w:eastAsia="Times New Roman"/>
        </w:rPr>
        <w:t xml:space="preserve"> suivantes</w:t>
      </w:r>
      <w:r w:rsidR="0048283A" w:rsidRPr="000E7DE4">
        <w:rPr>
          <w:rFonts w:eastAsia="Times New Roman"/>
        </w:rPr>
        <w:t xml:space="preserve"> (art. 9 I B 2° de la loi</w:t>
      </w:r>
      <w:r w:rsidR="00B47153" w:rsidRPr="000E7DE4">
        <w:rPr>
          <w:rFonts w:eastAsia="Times New Roman"/>
        </w:rPr>
        <w:t>)</w:t>
      </w:r>
      <w:r w:rsidR="0048283A" w:rsidRPr="000E7DE4">
        <w:rPr>
          <w:rFonts w:eastAsia="Times New Roman"/>
        </w:rPr>
        <w:t xml:space="preserve"> </w:t>
      </w:r>
      <w:r w:rsidR="00AF3F16" w:rsidRPr="000E7DE4">
        <w:rPr>
          <w:rFonts w:eastAsia="Times New Roman"/>
        </w:rPr>
        <w:t>:</w:t>
      </w:r>
    </w:p>
    <w:p w14:paraId="0DBA4480" w14:textId="370D7CB0" w:rsidR="0048283A" w:rsidRDefault="00AF3F16" w:rsidP="00AF3F16">
      <w:pPr>
        <w:pStyle w:val="Paragraphedeliste"/>
        <w:numPr>
          <w:ilvl w:val="0"/>
          <w:numId w:val="15"/>
        </w:numPr>
        <w:spacing w:before="0" w:after="0" w:line="240" w:lineRule="auto"/>
        <w:rPr>
          <w:rFonts w:eastAsia="Times New Roman"/>
        </w:rPr>
      </w:pPr>
      <w:r w:rsidRPr="00AF3F16">
        <w:rPr>
          <w:rFonts w:eastAsia="Times New Roman"/>
        </w:rPr>
        <w:t>Si</w:t>
      </w:r>
      <w:r w:rsidR="0048283A">
        <w:rPr>
          <w:rFonts w:eastAsia="Times New Roman"/>
        </w:rPr>
        <w:t xml:space="preserve"> leur</w:t>
      </w:r>
      <w:r w:rsidR="00844351">
        <w:rPr>
          <w:rFonts w:eastAsia="Times New Roman"/>
        </w:rPr>
        <w:t xml:space="preserve"> </w:t>
      </w:r>
      <w:r w:rsidR="00844351" w:rsidRPr="00844351">
        <w:rPr>
          <w:rFonts w:eastAsia="Times New Roman"/>
        </w:rPr>
        <w:t xml:space="preserve">l’activité principale relève </w:t>
      </w:r>
      <w:r w:rsidR="00844351" w:rsidRPr="00AF3F16">
        <w:rPr>
          <w:rFonts w:eastAsia="Times New Roman"/>
        </w:rPr>
        <w:t>d’autres secteurs</w:t>
      </w:r>
      <w:r w:rsidR="0048283A">
        <w:rPr>
          <w:rFonts w:eastAsia="Times New Roman"/>
        </w:rPr>
        <w:t xml:space="preserve"> que les secteurs prioritaires ou connexes</w:t>
      </w:r>
      <w:r w:rsidR="00841771">
        <w:rPr>
          <w:rFonts w:eastAsia="Times New Roman"/>
        </w:rPr>
        <w:t> ;</w:t>
      </w:r>
    </w:p>
    <w:p w14:paraId="30CCC044" w14:textId="75705ADB" w:rsidR="00844351" w:rsidRDefault="00844351" w:rsidP="00AF3F16">
      <w:pPr>
        <w:pStyle w:val="Paragraphedeliste"/>
        <w:numPr>
          <w:ilvl w:val="0"/>
          <w:numId w:val="15"/>
        </w:numPr>
        <w:spacing w:before="0" w:after="0" w:line="240" w:lineRule="auto"/>
        <w:rPr>
          <w:rFonts w:eastAsia="Times New Roman"/>
        </w:rPr>
      </w:pPr>
      <w:r w:rsidRPr="0048283A">
        <w:rPr>
          <w:rFonts w:eastAsia="Times New Roman"/>
          <w:b/>
          <w:bCs/>
        </w:rPr>
        <w:t>et</w:t>
      </w:r>
      <w:r>
        <w:rPr>
          <w:rFonts w:eastAsia="Times New Roman"/>
        </w:rPr>
        <w:t xml:space="preserve"> qui ont fait l’objet d’</w:t>
      </w:r>
      <w:r w:rsidRPr="00AF3F16">
        <w:rPr>
          <w:rFonts w:eastAsia="Times New Roman"/>
        </w:rPr>
        <w:t>une interdiction d’accueil du public affectant de manière prépondérante la poursuite de leur activité</w:t>
      </w:r>
      <w:r>
        <w:rPr>
          <w:rFonts w:eastAsia="Times New Roman"/>
        </w:rPr>
        <w:t xml:space="preserve"> (à l’exception des activités de livraison, de retrait de commande ou de vente à emporter). </w:t>
      </w:r>
    </w:p>
    <w:p w14:paraId="39440AE1" w14:textId="77777777" w:rsidR="000858B0" w:rsidRDefault="000858B0" w:rsidP="000858B0">
      <w:pPr>
        <w:spacing w:before="0" w:after="0" w:line="240" w:lineRule="auto"/>
        <w:rPr>
          <w:rFonts w:eastAsia="Times New Roman"/>
          <w:color w:val="A81815"/>
        </w:rPr>
      </w:pPr>
    </w:p>
    <w:p w14:paraId="725A8AA7" w14:textId="7278CDB0" w:rsidR="00B47153" w:rsidRPr="008F1307" w:rsidRDefault="000858B0" w:rsidP="000858B0">
      <w:pPr>
        <w:spacing w:before="0" w:after="0" w:line="240" w:lineRule="auto"/>
        <w:rPr>
          <w:rFonts w:eastAsia="Times New Roman"/>
        </w:rPr>
      </w:pPr>
      <w:r w:rsidRPr="008F1307">
        <w:rPr>
          <w:rFonts w:eastAsia="Times New Roman"/>
        </w:rPr>
        <w:t xml:space="preserve">Le décret du 27 janvier 2021 précise par ailleurs que les seuils d’effectifs sont appréciés conformément à l’article L. 130-1 I. du code de la sécurité sociale. </w:t>
      </w:r>
    </w:p>
    <w:p w14:paraId="14A10E55" w14:textId="77777777" w:rsidR="00841771" w:rsidRPr="008F1307" w:rsidRDefault="00841771" w:rsidP="00B47153">
      <w:pPr>
        <w:pStyle w:val="Paragraphedeliste"/>
        <w:spacing w:before="0" w:after="0" w:line="240" w:lineRule="auto"/>
        <w:ind w:left="1428"/>
        <w:rPr>
          <w:rFonts w:eastAsia="Times New Roman"/>
        </w:rPr>
      </w:pPr>
    </w:p>
    <w:tbl>
      <w:tblPr>
        <w:tblStyle w:val="Grilledutableau"/>
        <w:tblW w:w="0" w:type="auto"/>
        <w:tblLook w:val="04A0" w:firstRow="1" w:lastRow="0" w:firstColumn="1" w:lastColumn="0" w:noHBand="0" w:noVBand="1"/>
      </w:tblPr>
      <w:tblGrid>
        <w:gridCol w:w="9062"/>
      </w:tblGrid>
      <w:tr w:rsidR="0048283A" w14:paraId="12652FD9" w14:textId="77777777" w:rsidTr="0048283A">
        <w:tc>
          <w:tcPr>
            <w:tcW w:w="9062" w:type="dxa"/>
          </w:tcPr>
          <w:p w14:paraId="51615D6D" w14:textId="77777777" w:rsidR="0048283A" w:rsidRPr="00C104FE" w:rsidRDefault="0048283A" w:rsidP="00D45B6C">
            <w:pPr>
              <w:spacing w:before="0" w:after="160"/>
              <w:rPr>
                <w:b/>
                <w:bCs/>
              </w:rPr>
            </w:pPr>
            <w:r w:rsidRPr="00C104FE">
              <w:rPr>
                <w:b/>
                <w:bCs/>
              </w:rPr>
              <w:t>Comment apprécier l’activité principale ?</w:t>
            </w:r>
          </w:p>
          <w:p w14:paraId="1F49F2E5" w14:textId="77777777" w:rsidR="0048283A" w:rsidRPr="006923E5" w:rsidRDefault="0048283A" w:rsidP="0048283A">
            <w:pPr>
              <w:spacing w:before="0" w:after="160"/>
            </w:pPr>
            <w:r w:rsidRPr="006923E5">
              <w:t>Pour rappel, pour déterminer l’activité principale d’une entreprise ayant plusieurs établissements, le ministère de l’</w:t>
            </w:r>
            <w:r>
              <w:t>E</w:t>
            </w:r>
            <w:r w:rsidRPr="006923E5">
              <w:t xml:space="preserve">conomie nous indique : </w:t>
            </w:r>
          </w:p>
          <w:p w14:paraId="72F7FBED" w14:textId="77777777" w:rsidR="0048283A" w:rsidRPr="006923E5" w:rsidRDefault="0048283A" w:rsidP="0048283A">
            <w:pPr>
              <w:spacing w:before="0" w:after="160"/>
              <w:ind w:left="360"/>
              <w:rPr>
                <w:i/>
                <w:iCs/>
              </w:rPr>
            </w:pPr>
            <w:r w:rsidRPr="006923E5">
              <w:t xml:space="preserve">« </w:t>
            </w:r>
            <w:r w:rsidRPr="006923E5">
              <w:rPr>
                <w:i/>
                <w:iCs/>
              </w:rPr>
              <w:t>Votre entreprise exerce 2 ou 3 activités différentes et vous avez des doutes sur l’activité dominante ? 3 cas de figure se présentent :</w:t>
            </w:r>
          </w:p>
          <w:p w14:paraId="2E88B0E7" w14:textId="77777777" w:rsidR="0048283A" w:rsidRPr="006923E5" w:rsidRDefault="0048283A" w:rsidP="0048283A">
            <w:pPr>
              <w:numPr>
                <w:ilvl w:val="0"/>
                <w:numId w:val="8"/>
              </w:numPr>
              <w:spacing w:before="0" w:after="160"/>
              <w:ind w:left="1080"/>
              <w:contextualSpacing/>
              <w:rPr>
                <w:i/>
                <w:iCs/>
              </w:rPr>
            </w:pPr>
            <w:r w:rsidRPr="006923E5">
              <w:rPr>
                <w:i/>
                <w:iCs/>
              </w:rPr>
              <w:t>Vous effectuez des activités industrielles multiples : l'activité principale correspond à celle qui occupe le plus de salariés.</w:t>
            </w:r>
          </w:p>
          <w:p w14:paraId="4CF766DB" w14:textId="77777777" w:rsidR="0048283A" w:rsidRPr="006923E5" w:rsidRDefault="0048283A" w:rsidP="0048283A">
            <w:pPr>
              <w:numPr>
                <w:ilvl w:val="0"/>
                <w:numId w:val="8"/>
              </w:numPr>
              <w:spacing w:before="0" w:after="160"/>
              <w:ind w:left="1080"/>
              <w:contextualSpacing/>
              <w:rPr>
                <w:i/>
                <w:iCs/>
              </w:rPr>
            </w:pPr>
            <w:r w:rsidRPr="006923E5">
              <w:rPr>
                <w:i/>
                <w:iCs/>
              </w:rPr>
              <w:t>Vous effectuez des activités commerciales ou de prestations de services multiples : l'activité principale correspond à celle dont le chiffre d'affaires est le plus élevé.</w:t>
            </w:r>
          </w:p>
          <w:p w14:paraId="67A3CFBB" w14:textId="3D935290" w:rsidR="0048283A" w:rsidRDefault="0048283A" w:rsidP="007D5ECC">
            <w:pPr>
              <w:numPr>
                <w:ilvl w:val="0"/>
                <w:numId w:val="8"/>
              </w:numPr>
              <w:spacing w:before="0" w:after="160"/>
              <w:ind w:left="1080"/>
              <w:contextualSpacing/>
            </w:pPr>
            <w:r w:rsidRPr="006923E5">
              <w:rPr>
                <w:i/>
                <w:iCs/>
              </w:rPr>
              <w:t>Vous effectuez à la fois une activité industrielle et une activité commerciale : si la part du chiffre d'affaires d'origine industrielle de votre entreprise représente au moins 25 % du chiffre d'affaires total, votre activité sera considérée comme industrielle.</w:t>
            </w:r>
            <w:r w:rsidRPr="006923E5">
              <w:t xml:space="preserve"> »</w:t>
            </w:r>
          </w:p>
        </w:tc>
      </w:tr>
    </w:tbl>
    <w:p w14:paraId="160D6A04" w14:textId="1BA8E7F5" w:rsidR="003D3BA3" w:rsidRDefault="003D3BA3" w:rsidP="00D45B6C">
      <w:pPr>
        <w:spacing w:before="0" w:after="160"/>
        <w:contextualSpacing/>
      </w:pPr>
    </w:p>
    <w:p w14:paraId="39D766F0" w14:textId="4B610D11" w:rsidR="003D3BA3" w:rsidRDefault="003D3BA3" w:rsidP="00D45B6C">
      <w:pPr>
        <w:spacing w:before="0" w:after="160"/>
        <w:contextualSpacing/>
      </w:pPr>
      <w:r>
        <w:t xml:space="preserve">La LFSS 2021 précise en outre que ce dispositif exceptionnel d’exonération n’est pas applicable aux employeurs faisant </w:t>
      </w:r>
      <w:r w:rsidRPr="00F70242">
        <w:rPr>
          <w:b/>
          <w:bCs/>
        </w:rPr>
        <w:t xml:space="preserve">l’objet d’une condamnation au titre </w:t>
      </w:r>
      <w:r w:rsidR="00D4207A" w:rsidRPr="00F70242">
        <w:rPr>
          <w:b/>
          <w:bCs/>
        </w:rPr>
        <w:t>du travail dissimulé.</w:t>
      </w:r>
      <w:r w:rsidR="00D4207A">
        <w:t xml:space="preserve"> </w:t>
      </w:r>
    </w:p>
    <w:p w14:paraId="4A621DEF" w14:textId="77777777" w:rsidR="00AC4DFA" w:rsidRPr="008F1307" w:rsidRDefault="00AC4DFA" w:rsidP="00D45B6C">
      <w:pPr>
        <w:spacing w:before="0" w:after="160"/>
        <w:contextualSpacing/>
      </w:pPr>
      <w:r w:rsidRPr="008F1307">
        <w:t xml:space="preserve">Le décret du 27 janvier 2021 ajoute que l’employeur ne doit pas être un établissement de crédit ou une société de financement, et ne doit pas avoir rempli au 31 décembre 2019 les conditions pour être considérées comme entreprise en difficulté au sens de la règlementation européenne. </w:t>
      </w:r>
    </w:p>
    <w:p w14:paraId="653F3498" w14:textId="09AC50C3" w:rsidR="00AC4DFA" w:rsidRPr="008F1307" w:rsidRDefault="00AC4DFA" w:rsidP="00D45B6C">
      <w:pPr>
        <w:spacing w:before="0" w:after="160"/>
        <w:contextualSpacing/>
      </w:pPr>
      <w:r w:rsidRPr="008F1307">
        <w:t xml:space="preserve">Toutefois, par exception, pour les entreprises de moins de 50 salariés dont le CA annuel ou le total de bilan annuel n’excède pas 10 millions d’euros, elles peuvent bénéficier des dispositifs précités, même si elles étaient considérées « entreprises en difficulté » au 31 décembre 2019, dès lors qu’elles ne font pas l'objet d'une procédure collective d'insolvabilité et ne bénéficient pas d'une aide au sauvetage ou d'une aide à la restructuration. </w:t>
      </w:r>
    </w:p>
    <w:p w14:paraId="4A07F4E3" w14:textId="77777777" w:rsidR="00D45B6C" w:rsidRPr="006923E5" w:rsidRDefault="00D45B6C" w:rsidP="00D45B6C">
      <w:pPr>
        <w:spacing w:before="0" w:after="160"/>
        <w:contextualSpacing/>
      </w:pPr>
    </w:p>
    <w:p w14:paraId="26F8EF8B" w14:textId="218202B6" w:rsidR="00844351" w:rsidRDefault="00844351" w:rsidP="00D45B6C">
      <w:pPr>
        <w:pStyle w:val="Titre1"/>
        <w:ind w:firstLine="709"/>
      </w:pPr>
      <w:r w:rsidRPr="00D45B6C">
        <w:t>COTISATIONS EXONEREES</w:t>
      </w:r>
    </w:p>
    <w:p w14:paraId="27ADB8C2" w14:textId="77777777" w:rsidR="00844351" w:rsidRPr="006923E5" w:rsidRDefault="00844351" w:rsidP="00D45B6C">
      <w:pPr>
        <w:spacing w:before="0" w:after="160"/>
      </w:pPr>
      <w:r w:rsidRPr="006923E5">
        <w:rPr>
          <w:b/>
          <w:bCs/>
          <w:u w:val="single"/>
        </w:rPr>
        <w:t>Cette exonération de cotisations</w:t>
      </w:r>
      <w:r w:rsidRPr="006923E5">
        <w:t xml:space="preserve"> porte sur une partie seulement des </w:t>
      </w:r>
      <w:r w:rsidRPr="006923E5">
        <w:rPr>
          <w:b/>
          <w:bCs/>
        </w:rPr>
        <w:t>cotisations patronales,</w:t>
      </w:r>
      <w:r w:rsidRPr="006923E5">
        <w:t xml:space="preserve"> sont ainsi concernés : </w:t>
      </w:r>
    </w:p>
    <w:p w14:paraId="4E95A871" w14:textId="1766812F" w:rsidR="00844351" w:rsidRPr="006923E5" w:rsidRDefault="00844351" w:rsidP="00D45B6C">
      <w:pPr>
        <w:numPr>
          <w:ilvl w:val="0"/>
          <w:numId w:val="10"/>
        </w:numPr>
        <w:spacing w:before="0" w:after="160"/>
        <w:contextualSpacing/>
      </w:pPr>
      <w:r w:rsidRPr="006923E5">
        <w:t>Les cotisations d’assurance maladie</w:t>
      </w:r>
      <w:r w:rsidR="00B31790">
        <w:t>, maternité, invalidité, vieillesse, décès</w:t>
      </w:r>
      <w:r w:rsidR="00D434B2">
        <w:t> ;</w:t>
      </w:r>
    </w:p>
    <w:p w14:paraId="6A789E24" w14:textId="77777777" w:rsidR="00844351" w:rsidRPr="006923E5" w:rsidRDefault="00844351" w:rsidP="00D45B6C">
      <w:pPr>
        <w:numPr>
          <w:ilvl w:val="0"/>
          <w:numId w:val="10"/>
        </w:numPr>
        <w:spacing w:before="0" w:after="160"/>
        <w:contextualSpacing/>
      </w:pPr>
      <w:r w:rsidRPr="006923E5">
        <w:t>Les cotisations d’allocations familiales ;</w:t>
      </w:r>
    </w:p>
    <w:p w14:paraId="3057CDC1" w14:textId="5DE6CBDF" w:rsidR="00844351" w:rsidRPr="008F1307" w:rsidRDefault="00844351" w:rsidP="00D45B6C">
      <w:pPr>
        <w:numPr>
          <w:ilvl w:val="0"/>
          <w:numId w:val="10"/>
        </w:numPr>
        <w:spacing w:before="0" w:after="160"/>
        <w:contextualSpacing/>
      </w:pPr>
      <w:r w:rsidRPr="006923E5">
        <w:t xml:space="preserve">La cotisation d’accident du travail et de maladie professionnelle (AT-MP). Le taux dans la limite duquel l’exonération peut s’appliquer sur la cotisation AT-MP est limitée à sa part mutualisée, égale </w:t>
      </w:r>
      <w:r w:rsidRPr="008F1307">
        <w:t>à</w:t>
      </w:r>
      <w:r w:rsidR="00E33639" w:rsidRPr="008F1307">
        <w:t xml:space="preserve"> 0,70% en 2021</w:t>
      </w:r>
      <w:r w:rsidRPr="008F1307">
        <w:t xml:space="preserve"> </w:t>
      </w:r>
      <w:r w:rsidR="00E33639" w:rsidRPr="008F1307">
        <w:t>(</w:t>
      </w:r>
      <w:r w:rsidRPr="008F1307">
        <w:t>0,69 % en 2020</w:t>
      </w:r>
      <w:r w:rsidR="00E33639" w:rsidRPr="008F1307">
        <w:t>)</w:t>
      </w:r>
      <w:r w:rsidRPr="008F1307">
        <w:t xml:space="preserve"> ; </w:t>
      </w:r>
    </w:p>
    <w:p w14:paraId="337D3690" w14:textId="77777777" w:rsidR="00844351" w:rsidRPr="006923E5" w:rsidRDefault="00844351" w:rsidP="00D45B6C">
      <w:pPr>
        <w:numPr>
          <w:ilvl w:val="0"/>
          <w:numId w:val="10"/>
        </w:numPr>
        <w:spacing w:before="0" w:after="160"/>
        <w:contextualSpacing/>
      </w:pPr>
      <w:r w:rsidRPr="008F1307">
        <w:t xml:space="preserve">La contribution de solidarité pour l’autonomie </w:t>
      </w:r>
      <w:r w:rsidRPr="006923E5">
        <w:t>(CSA) ;</w:t>
      </w:r>
    </w:p>
    <w:p w14:paraId="65A2F6CC" w14:textId="77777777" w:rsidR="00844351" w:rsidRPr="006923E5" w:rsidRDefault="00844351" w:rsidP="00D45B6C">
      <w:pPr>
        <w:numPr>
          <w:ilvl w:val="0"/>
          <w:numId w:val="10"/>
        </w:numPr>
        <w:spacing w:before="0" w:after="160"/>
        <w:contextualSpacing/>
      </w:pPr>
      <w:r w:rsidRPr="006923E5">
        <w:t>La contribution d’assurance-chômage ;</w:t>
      </w:r>
    </w:p>
    <w:p w14:paraId="37E2CAB3" w14:textId="71087597" w:rsidR="00844351" w:rsidRDefault="00844351" w:rsidP="00D45B6C">
      <w:pPr>
        <w:numPr>
          <w:ilvl w:val="0"/>
          <w:numId w:val="10"/>
        </w:numPr>
        <w:spacing w:before="0" w:after="160"/>
        <w:contextualSpacing/>
      </w:pPr>
      <w:r w:rsidRPr="006923E5">
        <w:t xml:space="preserve">La contribution au FNAL. </w:t>
      </w:r>
    </w:p>
    <w:p w14:paraId="3DD237CA" w14:textId="77777777" w:rsidR="00B47153" w:rsidRDefault="00B47153" w:rsidP="00B47153">
      <w:pPr>
        <w:spacing w:before="0" w:after="160"/>
        <w:contextualSpacing/>
      </w:pPr>
    </w:p>
    <w:p w14:paraId="4F83801E" w14:textId="34A0383A" w:rsidR="00B47153" w:rsidRDefault="00B47153" w:rsidP="00B47153">
      <w:pPr>
        <w:spacing w:before="0" w:after="160"/>
        <w:contextualSpacing/>
      </w:pPr>
      <w:r>
        <w:t>Cette nouvelle exonération Covid 2 s'applique sur ces cotisations et contributions sociales listées ci-dessus restant dues après application de toute exonération totale ou partielle de cotisations sociales, de taux spécifiques, d'assiettes ou de montants forfaitaires de cotisations.</w:t>
      </w:r>
    </w:p>
    <w:p w14:paraId="6C940429" w14:textId="2128D252" w:rsidR="00B47153" w:rsidRDefault="00B47153" w:rsidP="00B47153">
      <w:pPr>
        <w:spacing w:before="0" w:after="160"/>
        <w:contextualSpacing/>
      </w:pPr>
      <w:r>
        <w:t>Elle est cumulable avec l'ensemble de ces dispositifs</w:t>
      </w:r>
      <w:r w:rsidR="00841771">
        <w:t>.</w:t>
      </w:r>
    </w:p>
    <w:p w14:paraId="3D9F7160" w14:textId="77777777" w:rsidR="00B47153" w:rsidRDefault="00B47153" w:rsidP="00B47153">
      <w:pPr>
        <w:spacing w:before="0" w:after="160"/>
        <w:contextualSpacing/>
      </w:pPr>
    </w:p>
    <w:p w14:paraId="31F7FC09" w14:textId="664AFD89" w:rsidR="00F551D3" w:rsidRPr="00F551D3" w:rsidRDefault="00B47153" w:rsidP="00F551D3">
      <w:pPr>
        <w:pStyle w:val="Titre1"/>
        <w:ind w:firstLine="708"/>
        <w:rPr>
          <w:caps/>
        </w:rPr>
      </w:pPr>
      <w:r w:rsidRPr="00B47153">
        <w:rPr>
          <w:caps/>
        </w:rPr>
        <w:t>Aide au paiement</w:t>
      </w:r>
      <w:r>
        <w:rPr>
          <w:caps/>
        </w:rPr>
        <w:t xml:space="preserve"> COVID 2</w:t>
      </w:r>
    </w:p>
    <w:p w14:paraId="54334DCE" w14:textId="29E3342A" w:rsidR="00844351" w:rsidRPr="006923E5" w:rsidRDefault="00B47153" w:rsidP="00D45B6C">
      <w:pPr>
        <w:spacing w:before="0" w:after="160"/>
      </w:pPr>
      <w:r w:rsidRPr="00B47153">
        <w:t>Le régime de cette aide</w:t>
      </w:r>
      <w:r w:rsidR="00841771">
        <w:t xml:space="preserve"> au paiement</w:t>
      </w:r>
      <w:r w:rsidRPr="00B47153">
        <w:t xml:space="preserve"> Covid 2 est quasi identique à celui de l'aide Covid 1.</w:t>
      </w:r>
      <w:r>
        <w:rPr>
          <w:b/>
          <w:bCs/>
          <w:u w:val="single"/>
        </w:rPr>
        <w:t xml:space="preserve"> </w:t>
      </w:r>
      <w:r w:rsidR="00841771">
        <w:rPr>
          <w:b/>
          <w:bCs/>
          <w:u w:val="single"/>
        </w:rPr>
        <w:t>Ainsi, p</w:t>
      </w:r>
      <w:r w:rsidR="00844351" w:rsidRPr="006923E5">
        <w:rPr>
          <w:b/>
          <w:bCs/>
          <w:u w:val="single"/>
        </w:rPr>
        <w:t>our les cotisations restantes, une aide a été instauré</w:t>
      </w:r>
      <w:r>
        <w:rPr>
          <w:b/>
          <w:bCs/>
          <w:u w:val="single"/>
        </w:rPr>
        <w:t>e</w:t>
      </w:r>
      <w:r w:rsidR="00844351" w:rsidRPr="006923E5">
        <w:rPr>
          <w:b/>
          <w:bCs/>
          <w:u w:val="single"/>
        </w:rPr>
        <w:t xml:space="preserve"> par </w:t>
      </w:r>
      <w:r w:rsidR="00D45B6C">
        <w:rPr>
          <w:b/>
          <w:bCs/>
          <w:u w:val="single"/>
        </w:rPr>
        <w:t>ce même article 9 de la</w:t>
      </w:r>
      <w:r w:rsidR="00844351" w:rsidRPr="006923E5">
        <w:rPr>
          <w:b/>
          <w:bCs/>
          <w:u w:val="single"/>
        </w:rPr>
        <w:t xml:space="preserve"> </w:t>
      </w:r>
      <w:r w:rsidR="003D3BA3" w:rsidRPr="003D3BA3">
        <w:rPr>
          <w:b/>
          <w:bCs/>
          <w:u w:val="single"/>
        </w:rPr>
        <w:t>LFSS 2021</w:t>
      </w:r>
      <w:r w:rsidR="00844351" w:rsidRPr="006923E5">
        <w:rPr>
          <w:b/>
          <w:bCs/>
          <w:u w:val="single"/>
        </w:rPr>
        <w:t>. Cette aide au paiement des cotisations sociales</w:t>
      </w:r>
      <w:r w:rsidR="00844351" w:rsidRPr="006923E5">
        <w:rPr>
          <w:u w:val="single"/>
        </w:rPr>
        <w:t>,</w:t>
      </w:r>
      <w:r w:rsidR="00844351" w:rsidRPr="006923E5">
        <w:t xml:space="preserve"> imputable en 2020</w:t>
      </w:r>
      <w:r w:rsidR="00D45B6C">
        <w:t xml:space="preserve"> et 2021</w:t>
      </w:r>
      <w:r w:rsidR="00844351" w:rsidRPr="006923E5">
        <w:t xml:space="preserve"> sur l’ensemble des cotisations et contributions (</w:t>
      </w:r>
      <w:r w:rsidR="00844351" w:rsidRPr="006923E5">
        <w:rPr>
          <w:b/>
          <w:bCs/>
        </w:rPr>
        <w:t>patronales et salariales</w:t>
      </w:r>
      <w:r w:rsidR="00844351" w:rsidRPr="006923E5">
        <w:t xml:space="preserve">) dues par l’entreprise à l’Urssaf, est </w:t>
      </w:r>
      <w:r w:rsidR="00844351" w:rsidRPr="006923E5">
        <w:rPr>
          <w:b/>
          <w:bCs/>
        </w:rPr>
        <w:t>égale à 20 %</w:t>
      </w:r>
      <w:r w:rsidR="00844351" w:rsidRPr="006923E5">
        <w:t xml:space="preserve"> du montant des revenus d’activité qui ont fait l’objet de l’exonération de cotisations patronales.</w:t>
      </w:r>
    </w:p>
    <w:p w14:paraId="4F3CB3D9" w14:textId="77777777" w:rsidR="00844351" w:rsidRPr="006923E5" w:rsidRDefault="00844351" w:rsidP="00D45B6C">
      <w:pPr>
        <w:spacing w:before="0" w:after="160"/>
      </w:pPr>
      <w:r w:rsidRPr="006923E5">
        <w:t xml:space="preserve">Pour un employeur de droit commun, il s’agit des cotisations et contributions qui n’ont pas été exonérées, soient : </w:t>
      </w:r>
    </w:p>
    <w:p w14:paraId="66CC67C4" w14:textId="77777777" w:rsidR="00844351" w:rsidRPr="006923E5" w:rsidRDefault="00844351" w:rsidP="00D45B6C">
      <w:pPr>
        <w:numPr>
          <w:ilvl w:val="0"/>
          <w:numId w:val="11"/>
        </w:numPr>
        <w:spacing w:before="0" w:after="160"/>
        <w:contextualSpacing/>
      </w:pPr>
      <w:r w:rsidRPr="006923E5">
        <w:t>Les cotisations salariales d’assurance vieillesse ;</w:t>
      </w:r>
    </w:p>
    <w:p w14:paraId="4AB5C589" w14:textId="77777777" w:rsidR="00844351" w:rsidRPr="006923E5" w:rsidRDefault="00844351" w:rsidP="00D45B6C">
      <w:pPr>
        <w:numPr>
          <w:ilvl w:val="0"/>
          <w:numId w:val="11"/>
        </w:numPr>
        <w:spacing w:before="0" w:after="160"/>
        <w:contextualSpacing/>
      </w:pPr>
      <w:r w:rsidRPr="006923E5">
        <w:t>La cotisation accidents du travail et maladies professionnelles (AT-MP) pour la part non exonérée ;</w:t>
      </w:r>
    </w:p>
    <w:p w14:paraId="3A67F1DC" w14:textId="77777777" w:rsidR="00844351" w:rsidRPr="006923E5" w:rsidRDefault="00844351" w:rsidP="00D45B6C">
      <w:pPr>
        <w:numPr>
          <w:ilvl w:val="0"/>
          <w:numId w:val="11"/>
        </w:numPr>
        <w:spacing w:before="0" w:after="160"/>
        <w:contextualSpacing/>
      </w:pPr>
      <w:r w:rsidRPr="006923E5">
        <w:t>La contribution d’assurance chômage et la contribution au fonds de garantie des salaires (AGS) ;</w:t>
      </w:r>
    </w:p>
    <w:p w14:paraId="40B65DA3" w14:textId="77777777" w:rsidR="00844351" w:rsidRPr="006923E5" w:rsidRDefault="00844351" w:rsidP="00D45B6C">
      <w:pPr>
        <w:numPr>
          <w:ilvl w:val="0"/>
          <w:numId w:val="11"/>
        </w:numPr>
        <w:spacing w:before="0" w:after="160"/>
        <w:contextualSpacing/>
      </w:pPr>
      <w:r w:rsidRPr="006923E5">
        <w:lastRenderedPageBreak/>
        <w:t>La contribution sociale généralisée (CSG) et la contribution au remboursement de la dette sociale (CRDS) ;</w:t>
      </w:r>
    </w:p>
    <w:p w14:paraId="2F331274" w14:textId="77777777" w:rsidR="00844351" w:rsidRPr="006923E5" w:rsidRDefault="00844351" w:rsidP="00D45B6C">
      <w:pPr>
        <w:numPr>
          <w:ilvl w:val="0"/>
          <w:numId w:val="11"/>
        </w:numPr>
        <w:spacing w:before="0" w:after="160"/>
        <w:contextualSpacing/>
      </w:pPr>
      <w:r w:rsidRPr="006923E5">
        <w:t>Le versement mobilité transport ;</w:t>
      </w:r>
    </w:p>
    <w:p w14:paraId="5557B69E" w14:textId="77777777" w:rsidR="00844351" w:rsidRPr="006923E5" w:rsidRDefault="00844351" w:rsidP="00D45B6C">
      <w:pPr>
        <w:numPr>
          <w:ilvl w:val="0"/>
          <w:numId w:val="11"/>
        </w:numPr>
        <w:spacing w:before="0" w:after="160"/>
        <w:contextualSpacing/>
      </w:pPr>
      <w:r w:rsidRPr="006923E5">
        <w:t>La contribution patronale au dialogue social ;</w:t>
      </w:r>
    </w:p>
    <w:p w14:paraId="2105BA5F" w14:textId="77777777" w:rsidR="00844351" w:rsidRPr="006923E5" w:rsidRDefault="00844351" w:rsidP="00D45B6C">
      <w:pPr>
        <w:numPr>
          <w:ilvl w:val="0"/>
          <w:numId w:val="11"/>
        </w:numPr>
        <w:spacing w:before="0" w:after="160"/>
        <w:contextualSpacing/>
      </w:pPr>
      <w:r w:rsidRPr="006923E5">
        <w:t>Le forfait social ;</w:t>
      </w:r>
    </w:p>
    <w:p w14:paraId="73CB825C" w14:textId="77777777" w:rsidR="00844351" w:rsidRPr="006923E5" w:rsidRDefault="00844351" w:rsidP="00D45B6C">
      <w:pPr>
        <w:numPr>
          <w:ilvl w:val="0"/>
          <w:numId w:val="11"/>
        </w:numPr>
        <w:spacing w:before="0" w:after="160"/>
        <w:contextualSpacing/>
      </w:pPr>
      <w:r w:rsidRPr="006923E5">
        <w:t>Les contributions spécifiques aux retraites à prestations définies à droit aléatoire ;</w:t>
      </w:r>
    </w:p>
    <w:p w14:paraId="6154F7EF" w14:textId="77777777" w:rsidR="00844351" w:rsidRPr="006923E5" w:rsidRDefault="00844351" w:rsidP="00D45B6C">
      <w:pPr>
        <w:numPr>
          <w:ilvl w:val="0"/>
          <w:numId w:val="11"/>
        </w:numPr>
        <w:spacing w:before="0" w:after="160"/>
        <w:contextualSpacing/>
      </w:pPr>
      <w:r w:rsidRPr="006923E5">
        <w:t>Les contributions spécifiques aux stock-options et aux attributions gratuites d’action ;</w:t>
      </w:r>
    </w:p>
    <w:p w14:paraId="13B8770D" w14:textId="54DF62E1" w:rsidR="00844351" w:rsidRDefault="00844351" w:rsidP="00D45B6C">
      <w:pPr>
        <w:numPr>
          <w:ilvl w:val="0"/>
          <w:numId w:val="11"/>
        </w:numPr>
        <w:spacing w:before="0" w:after="160"/>
        <w:contextualSpacing/>
      </w:pPr>
      <w:r w:rsidRPr="006923E5">
        <w:t>La taxe CDDU due au titre des embauches réalisées entre le 1</w:t>
      </w:r>
      <w:r w:rsidRPr="006923E5">
        <w:rPr>
          <w:vertAlign w:val="superscript"/>
        </w:rPr>
        <w:t>er</w:t>
      </w:r>
      <w:r w:rsidRPr="006923E5">
        <w:t xml:space="preserve"> janvier et le 30 juin 2020.</w:t>
      </w:r>
    </w:p>
    <w:p w14:paraId="18E12DC1" w14:textId="407FDACC" w:rsidR="003D3BA3" w:rsidRDefault="003D3BA3" w:rsidP="00D45B6C">
      <w:pPr>
        <w:spacing w:before="0" w:after="160"/>
        <w:contextualSpacing/>
      </w:pPr>
    </w:p>
    <w:p w14:paraId="03F9958F" w14:textId="12F0DCA6" w:rsidR="003D3BA3" w:rsidRDefault="007847BA" w:rsidP="007847BA">
      <w:pPr>
        <w:spacing w:before="0" w:after="160"/>
        <w:contextualSpacing/>
      </w:pPr>
      <w:r>
        <w:t xml:space="preserve">Une même période d'emploi ne peut pas ouvrir droit à deux aides. Les rémunérations des périodes d'emploi ouvrant droit à l'aide Covid 1 ne peuvent pas bénéficier de l'aide Covid 2. </w:t>
      </w:r>
      <w:r>
        <w:rPr>
          <w:rFonts w:ascii="Calibri Light" w:hAnsi="Calibri Light" w:cs="Calibri Light"/>
        </w:rPr>
        <w:t>→</w:t>
      </w:r>
      <w:r>
        <w:t xml:space="preserve"> Ainsi, les employeurs encore éligibles à la première aide (comme les discothèques par exemple) ne peuvent pas cumuler les deux aides sur une même période.</w:t>
      </w:r>
      <w:r w:rsidR="00B61B64">
        <w:t xml:space="preserve"> </w:t>
      </w:r>
      <w:r w:rsidR="003D3BA3">
        <w:t xml:space="preserve">Pour plus d’informations concernant cette aide au paiement, cliquez </w:t>
      </w:r>
      <w:hyperlink r:id="rId18" w:history="1">
        <w:r w:rsidR="003D3BA3" w:rsidRPr="003D3BA3">
          <w:rPr>
            <w:rStyle w:val="Lienhypertexte"/>
          </w:rPr>
          <w:t>ici</w:t>
        </w:r>
      </w:hyperlink>
      <w:r w:rsidR="003D3BA3">
        <w:t>.</w:t>
      </w:r>
    </w:p>
    <w:p w14:paraId="013206E9" w14:textId="7788C92B" w:rsidR="003D3BA3" w:rsidRDefault="003D3BA3" w:rsidP="00D45B6C">
      <w:pPr>
        <w:spacing w:before="0" w:after="160"/>
        <w:contextualSpacing/>
      </w:pPr>
    </w:p>
    <w:p w14:paraId="7C6CCADF" w14:textId="4D827D60" w:rsidR="00B9655E" w:rsidRDefault="002D0C1D" w:rsidP="00D45B6C">
      <w:pPr>
        <w:spacing w:before="0" w:after="160"/>
      </w:pPr>
      <w:r w:rsidRPr="002D0C1D">
        <w:t xml:space="preserve">La procédure ainsi que les déclarations </w:t>
      </w:r>
      <w:r w:rsidR="00F95BA1">
        <w:t>U</w:t>
      </w:r>
      <w:r w:rsidRPr="002D0C1D">
        <w:t xml:space="preserve">rssaf à réaliser doivent encore faire l’objet de précisions. </w:t>
      </w:r>
    </w:p>
    <w:p w14:paraId="2210ACE9" w14:textId="77777777" w:rsidR="00F95BA1" w:rsidRDefault="00F95BA1" w:rsidP="00D45B6C">
      <w:pPr>
        <w:spacing w:before="0" w:after="160"/>
      </w:pPr>
    </w:p>
    <w:p w14:paraId="7ACD20A6" w14:textId="0A75981E" w:rsidR="00AC4DFA" w:rsidRPr="00F551D3" w:rsidRDefault="00AC4DFA" w:rsidP="00AC4DFA">
      <w:pPr>
        <w:pStyle w:val="Titre1"/>
        <w:ind w:firstLine="708"/>
        <w:rPr>
          <w:caps/>
        </w:rPr>
      </w:pPr>
      <w:r>
        <w:rPr>
          <w:caps/>
        </w:rPr>
        <w:t>Plafonnement des dispositifs</w:t>
      </w:r>
    </w:p>
    <w:p w14:paraId="53C214D8" w14:textId="19B92BF6" w:rsidR="00AC4DFA" w:rsidRPr="00402EFE" w:rsidRDefault="00AC4DFA" w:rsidP="00D45B6C">
      <w:pPr>
        <w:spacing w:before="0" w:after="160"/>
      </w:pPr>
      <w:r w:rsidRPr="008F1307">
        <w:t xml:space="preserve">Le décret du 27 janvier </w:t>
      </w:r>
      <w:r w:rsidRPr="00402EFE">
        <w:t>2021</w:t>
      </w:r>
      <w:r w:rsidR="0002310E" w:rsidRPr="00402EFE">
        <w:t xml:space="preserve"> modifié par celui du 12 avril</w:t>
      </w:r>
      <w:r w:rsidRPr="00402EFE">
        <w:t xml:space="preserve"> ajoute une </w:t>
      </w:r>
      <w:r w:rsidRPr="00402EFE">
        <w:rPr>
          <w:b/>
          <w:bCs/>
        </w:rPr>
        <w:t>règle de plafonnement au bénéfice de l’exonération et de l’aide au paiement prévue par la LFSS 2021</w:t>
      </w:r>
      <w:r w:rsidRPr="00402EFE">
        <w:t xml:space="preserve">. </w:t>
      </w:r>
    </w:p>
    <w:p w14:paraId="2D0685D1" w14:textId="3E16A192" w:rsidR="00AC4DFA" w:rsidRDefault="00AC4DFA" w:rsidP="00D45B6C">
      <w:pPr>
        <w:spacing w:before="0" w:after="160"/>
      </w:pPr>
      <w:r w:rsidRPr="00402EFE">
        <w:t xml:space="preserve">En effet, il précise que </w:t>
      </w:r>
      <w:r w:rsidRPr="00402EFE">
        <w:rPr>
          <w:b/>
          <w:bCs/>
        </w:rPr>
        <w:t>le montant cumulé</w:t>
      </w:r>
      <w:r w:rsidRPr="00402EFE">
        <w:t xml:space="preserve"> perçu par l’employeur au titre de cette loi ET au titre de la loi de finances rectificative pour 2020 (instaurant pour rappel un dispositif d’exonération et d’aide au paiement semblable) </w:t>
      </w:r>
      <w:r w:rsidRPr="00402EFE">
        <w:rPr>
          <w:b/>
          <w:bCs/>
        </w:rPr>
        <w:t xml:space="preserve">ne peut excéder </w:t>
      </w:r>
      <w:r w:rsidR="0002310E" w:rsidRPr="00402EFE">
        <w:rPr>
          <w:b/>
          <w:bCs/>
        </w:rPr>
        <w:t xml:space="preserve">1 </w:t>
      </w:r>
      <w:r w:rsidRPr="00402EFE">
        <w:rPr>
          <w:b/>
          <w:bCs/>
        </w:rPr>
        <w:t>800 000 euros</w:t>
      </w:r>
      <w:r w:rsidRPr="00402EFE">
        <w:t xml:space="preserve"> (sauf </w:t>
      </w:r>
      <w:r w:rsidRPr="008F1307">
        <w:t xml:space="preserve">exceptions prévues par le décret). </w:t>
      </w:r>
    </w:p>
    <w:p w14:paraId="05413170" w14:textId="73E67264" w:rsidR="00384EE7" w:rsidRPr="00384EE7" w:rsidRDefault="000570C9" w:rsidP="00D45B6C">
      <w:pPr>
        <w:spacing w:before="0" w:after="160"/>
        <w:rPr>
          <w:color w:val="A81815"/>
        </w:rPr>
      </w:pPr>
      <w:r>
        <w:rPr>
          <w:color w:val="A81815"/>
        </w:rPr>
        <w:t xml:space="preserve">Pour autant, la rédaction du décret peut paraître trompeuse et en contradiction avec d’autres textes juridiques concernant ce plafond. En effet, le décret concernant le fonds de solidarité, la décision de la Commission Européenne, l’instruction DSS ou encore le site urssaf.fr indiquent que le montant de 1 800 000 euros est applicable à l’ensemble des aides perçues par les entreprises (soit le cumul du fonds de solidarité, du dégrèvement de CFE mais aussi et surtout l’exonération et l’aide au paiement des charges). Afin de sécuriser les entreprises, la CPME a alerté le ministère, un décret rectificatif est actuellement en attente. </w:t>
      </w:r>
    </w:p>
    <w:p w14:paraId="18196A8A" w14:textId="21F79257" w:rsidR="00B97F0E" w:rsidRPr="00B97F0E" w:rsidRDefault="00F551D3" w:rsidP="00AC4DFA">
      <w:pPr>
        <w:spacing w:before="0" w:after="160"/>
        <w:jc w:val="left"/>
        <w:rPr>
          <w:rFonts w:ascii="Avenir LT Std 65 Medium" w:eastAsia="Times New Roman" w:hAnsi="Avenir LT Std 65 Medium" w:cstheme="minorHAnsi"/>
          <w:b/>
          <w:bCs/>
          <w:color w:val="F59E33"/>
          <w:sz w:val="24"/>
          <w:szCs w:val="24"/>
        </w:rPr>
      </w:pPr>
      <w:r>
        <w:rPr>
          <w:rFonts w:ascii="Avenir LT Std 65 Medium" w:eastAsia="Times New Roman" w:hAnsi="Avenir LT Std 65 Medium" w:cstheme="minorHAnsi"/>
          <w:b/>
          <w:bCs/>
          <w:color w:val="F59E33"/>
          <w:sz w:val="24"/>
          <w:szCs w:val="24"/>
        </w:rPr>
        <w:br w:type="page"/>
      </w:r>
      <w:r w:rsidR="00B97F0E">
        <w:rPr>
          <w:rFonts w:ascii="Avenir LT Std 65 Medium" w:eastAsia="Times New Roman" w:hAnsi="Avenir LT Std 65 Medium" w:cstheme="minorHAnsi"/>
          <w:b/>
          <w:bCs/>
          <w:color w:val="F59E33"/>
          <w:sz w:val="24"/>
          <w:szCs w:val="24"/>
        </w:rPr>
        <w:lastRenderedPageBreak/>
        <w:t>PROLONGATION DES PL</w:t>
      </w:r>
      <w:r w:rsidR="00B97F0E" w:rsidRPr="00B97F0E">
        <w:rPr>
          <w:rFonts w:ascii="Avenir LT Std 65 Medium" w:eastAsia="Times New Roman" w:hAnsi="Avenir LT Std 65 Medium" w:cstheme="minorHAnsi"/>
          <w:b/>
          <w:bCs/>
          <w:color w:val="F59E33"/>
          <w:sz w:val="24"/>
          <w:szCs w:val="24"/>
        </w:rPr>
        <w:t>ANS D’APUREMENT DES DETTES SOCIALE</w:t>
      </w:r>
      <w:r w:rsidR="00F95BA1" w:rsidRPr="00B97F0E">
        <w:rPr>
          <w:rFonts w:ascii="Avenir LT Std 65 Medium" w:eastAsia="Times New Roman" w:hAnsi="Avenir LT Std 65 Medium" w:cstheme="minorHAnsi"/>
          <w:b/>
          <w:bCs/>
          <w:color w:val="F59E33"/>
          <w:sz w:val="24"/>
          <w:szCs w:val="24"/>
        </w:rPr>
        <w:t xml:space="preserve">S </w:t>
      </w:r>
    </w:p>
    <w:p w14:paraId="2CBE9987" w14:textId="38C065DE" w:rsidR="0040436D" w:rsidRDefault="00B97F0E" w:rsidP="00D45B6C">
      <w:pPr>
        <w:spacing w:before="0" w:after="160"/>
      </w:pPr>
      <w:r w:rsidRPr="00B97F0E">
        <w:t xml:space="preserve">Les entreprises de </w:t>
      </w:r>
      <w:r w:rsidRPr="00B97F0E">
        <w:rPr>
          <w:b/>
          <w:bCs/>
        </w:rPr>
        <w:t>moins de 250 salariés</w:t>
      </w:r>
      <w:r w:rsidRPr="00B97F0E">
        <w:t xml:space="preserve"> ou les </w:t>
      </w:r>
      <w:r w:rsidRPr="00B97F0E">
        <w:rPr>
          <w:b/>
          <w:bCs/>
        </w:rPr>
        <w:t>travailleurs indépendants</w:t>
      </w:r>
      <w:r w:rsidRPr="00B97F0E">
        <w:t xml:space="preserve"> pour lesquels des cotisations et contributions sociales resteraient dues</w:t>
      </w:r>
      <w:r w:rsidR="00864CE6">
        <w:t xml:space="preserve"> respectivement</w:t>
      </w:r>
      <w:r w:rsidR="0051571F">
        <w:t xml:space="preserve"> </w:t>
      </w:r>
      <w:r w:rsidR="007847BA">
        <w:t xml:space="preserve">au </w:t>
      </w:r>
      <w:r w:rsidRPr="00D45B6C">
        <w:rPr>
          <w:b/>
          <w:bCs/>
        </w:rPr>
        <w:t>31 décembre</w:t>
      </w:r>
      <w:r w:rsidRPr="00B97F0E">
        <w:rPr>
          <w:b/>
          <w:bCs/>
        </w:rPr>
        <w:t xml:space="preserve"> 2020</w:t>
      </w:r>
      <w:r w:rsidRPr="00B97F0E">
        <w:t xml:space="preserve"> </w:t>
      </w:r>
      <w:r w:rsidR="00864CE6">
        <w:t xml:space="preserve">et au </w:t>
      </w:r>
      <w:r w:rsidR="00864CE6" w:rsidRPr="00864CE6">
        <w:rPr>
          <w:b/>
          <w:bCs/>
        </w:rPr>
        <w:t>30 septembre 2020</w:t>
      </w:r>
      <w:r w:rsidR="00864CE6">
        <w:t xml:space="preserve"> </w:t>
      </w:r>
      <w:r w:rsidRPr="00B97F0E">
        <w:t xml:space="preserve">peuvent bénéficier de plans d’apurement. </w:t>
      </w:r>
    </w:p>
    <w:p w14:paraId="687C3910" w14:textId="6BE546B8" w:rsidR="0040436D" w:rsidRPr="00B97F0E" w:rsidRDefault="0040436D" w:rsidP="0040436D">
      <w:pPr>
        <w:spacing w:before="0" w:after="160"/>
      </w:pPr>
      <w:r>
        <w:rPr>
          <w:b/>
          <w:bCs/>
        </w:rPr>
        <w:t>L’Urssaf</w:t>
      </w:r>
      <w:r w:rsidRPr="00B97F0E">
        <w:t xml:space="preserve"> peut en effet </w:t>
      </w:r>
      <w:r w:rsidRPr="00B97F0E">
        <w:rPr>
          <w:b/>
          <w:bCs/>
        </w:rPr>
        <w:t>proposer</w:t>
      </w:r>
      <w:r w:rsidRPr="00B97F0E">
        <w:t xml:space="preserve"> </w:t>
      </w:r>
      <w:r w:rsidRPr="00B97F0E">
        <w:rPr>
          <w:b/>
          <w:bCs/>
        </w:rPr>
        <w:t xml:space="preserve">avant le 31 </w:t>
      </w:r>
      <w:r w:rsidR="00823149">
        <w:rPr>
          <w:b/>
          <w:bCs/>
        </w:rPr>
        <w:t>mai 2</w:t>
      </w:r>
      <w:r w:rsidRPr="00B97F0E">
        <w:rPr>
          <w:b/>
          <w:bCs/>
        </w:rPr>
        <w:t>021</w:t>
      </w:r>
      <w:r w:rsidRPr="00B97F0E">
        <w:t xml:space="preserve">, un tel plan et à défaut d’opposition ou de demande d’aménagement par le cotisant dans un délai d’un mois, le plan est </w:t>
      </w:r>
      <w:r w:rsidRPr="00B97F0E">
        <w:rPr>
          <w:b/>
          <w:bCs/>
        </w:rPr>
        <w:t>réputé accepté</w:t>
      </w:r>
      <w:r w:rsidRPr="00B97F0E">
        <w:t>.</w:t>
      </w:r>
    </w:p>
    <w:p w14:paraId="00A5FFD2" w14:textId="77777777" w:rsidR="0040436D" w:rsidRPr="00402EFE" w:rsidRDefault="0040436D" w:rsidP="0040436D">
      <w:pPr>
        <w:spacing w:before="0" w:after="160"/>
        <w:rPr>
          <w:b/>
          <w:bCs/>
        </w:rPr>
      </w:pPr>
      <w:r w:rsidRPr="00B97F0E">
        <w:t xml:space="preserve">L’entreprise intéressée qui n’aurait pas été destinataire d’un tel plan d’apurement </w:t>
      </w:r>
      <w:r w:rsidRPr="00B97F0E">
        <w:rPr>
          <w:b/>
          <w:bCs/>
        </w:rPr>
        <w:t xml:space="preserve">peut aussi </w:t>
      </w:r>
      <w:r w:rsidRPr="00402EFE">
        <w:rPr>
          <w:b/>
          <w:bCs/>
        </w:rPr>
        <w:t xml:space="preserve">solliciter l’Urssaf. </w:t>
      </w:r>
    </w:p>
    <w:p w14:paraId="42827DCE" w14:textId="77777777" w:rsidR="00864CE6" w:rsidRPr="00402EFE" w:rsidRDefault="0051571F" w:rsidP="00D45B6C">
      <w:pPr>
        <w:spacing w:before="0" w:after="160"/>
      </w:pPr>
      <w:r w:rsidRPr="00402EFE">
        <w:t xml:space="preserve">Le </w:t>
      </w:r>
      <w:r w:rsidRPr="00402EFE">
        <w:rPr>
          <w:b/>
          <w:bCs/>
        </w:rPr>
        <w:t>montant des échéances et la durée</w:t>
      </w:r>
      <w:r w:rsidRPr="00402EFE">
        <w:t xml:space="preserve"> du plan d’apurement sont </w:t>
      </w:r>
      <w:r w:rsidR="006D4899" w:rsidRPr="00402EFE">
        <w:t>déterminés</w:t>
      </w:r>
      <w:r w:rsidRPr="00402EFE">
        <w:t xml:space="preserve"> en fonction</w:t>
      </w:r>
      <w:r w:rsidR="00864CE6" w:rsidRPr="00402EFE">
        <w:t> :</w:t>
      </w:r>
    </w:p>
    <w:p w14:paraId="50814BF2" w14:textId="77777777" w:rsidR="00864CE6" w:rsidRPr="00402EFE" w:rsidRDefault="0051571F" w:rsidP="00864CE6">
      <w:pPr>
        <w:pStyle w:val="Paragraphedeliste"/>
        <w:numPr>
          <w:ilvl w:val="0"/>
          <w:numId w:val="11"/>
        </w:numPr>
        <w:spacing w:before="0" w:after="160"/>
      </w:pPr>
      <w:r w:rsidRPr="00402EFE">
        <w:t xml:space="preserve">du </w:t>
      </w:r>
      <w:r w:rsidRPr="00402EFE">
        <w:rPr>
          <w:b/>
          <w:bCs/>
        </w:rPr>
        <w:t>nombre d'échéances</w:t>
      </w:r>
      <w:r w:rsidRPr="00402EFE">
        <w:t xml:space="preserve"> déclaratives et de paiement pour lesquelles </w:t>
      </w:r>
      <w:r w:rsidR="0040436D" w:rsidRPr="00402EFE">
        <w:t>l’employeur</w:t>
      </w:r>
      <w:r w:rsidRPr="00402EFE">
        <w:t xml:space="preserve"> ne s'est pas acquitté de l'intégralité du paiement de ses cotisations et contributions sociales </w:t>
      </w:r>
    </w:p>
    <w:p w14:paraId="2218E6D5" w14:textId="65D223CB" w:rsidR="00B97F0E" w:rsidRPr="00402EFE" w:rsidRDefault="0051571F" w:rsidP="00864CE6">
      <w:pPr>
        <w:pStyle w:val="Paragraphedeliste"/>
        <w:numPr>
          <w:ilvl w:val="0"/>
          <w:numId w:val="11"/>
        </w:numPr>
        <w:spacing w:before="0" w:after="160"/>
      </w:pPr>
      <w:r w:rsidRPr="00402EFE">
        <w:t>et</w:t>
      </w:r>
      <w:r w:rsidR="00864CE6" w:rsidRPr="00402EFE">
        <w:t xml:space="preserve">, </w:t>
      </w:r>
      <w:r w:rsidRPr="00402EFE">
        <w:t xml:space="preserve">de </w:t>
      </w:r>
      <w:r w:rsidRPr="00402EFE">
        <w:rPr>
          <w:b/>
          <w:bCs/>
        </w:rPr>
        <w:t>l'importance de la dette</w:t>
      </w:r>
      <w:r w:rsidRPr="00402EFE">
        <w:t>.</w:t>
      </w:r>
    </w:p>
    <w:p w14:paraId="416679C2" w14:textId="7CCE8812" w:rsidR="00F95BA1" w:rsidRPr="00402EFE" w:rsidRDefault="0040436D" w:rsidP="00F95BA1">
      <w:pPr>
        <w:spacing w:before="0" w:after="160"/>
      </w:pPr>
      <w:r w:rsidRPr="00402EFE">
        <w:t xml:space="preserve">La </w:t>
      </w:r>
      <w:r w:rsidRPr="00402EFE">
        <w:rPr>
          <w:b/>
          <w:bCs/>
        </w:rPr>
        <w:t>durée des plans</w:t>
      </w:r>
      <w:r w:rsidRPr="00402EFE">
        <w:t xml:space="preserve"> est </w:t>
      </w:r>
      <w:r w:rsidR="00864CE6" w:rsidRPr="00402EFE">
        <w:t xml:space="preserve">par ailleurs </w:t>
      </w:r>
      <w:r w:rsidR="00F95BA1" w:rsidRPr="00402EFE">
        <w:t>identique aux plans accordés par l’Admin</w:t>
      </w:r>
      <w:r w:rsidRPr="00402EFE">
        <w:t>istration</w:t>
      </w:r>
      <w:r w:rsidR="00F95BA1" w:rsidRPr="00402EFE">
        <w:t xml:space="preserve"> fiscale, dès lors que le cotisant : </w:t>
      </w:r>
    </w:p>
    <w:p w14:paraId="1359E690" w14:textId="3D3B92FA" w:rsidR="00F95BA1" w:rsidRPr="00402EFE" w:rsidRDefault="00F95BA1" w:rsidP="0040436D">
      <w:pPr>
        <w:pStyle w:val="Paragraphedeliste"/>
        <w:numPr>
          <w:ilvl w:val="0"/>
          <w:numId w:val="21"/>
        </w:numPr>
        <w:spacing w:before="0" w:after="160"/>
      </w:pPr>
      <w:r w:rsidRPr="00402EFE">
        <w:t>est redevable d'au moins 1 200 euros auprès de l'administration fiscale d'une part, et auprès des organismes de sécurité sociale au titre des exigibilités dues à compter du mois de mars 2020</w:t>
      </w:r>
      <w:r w:rsidR="006D4899" w:rsidRPr="00402EFE">
        <w:t>, d’autre part</w:t>
      </w:r>
      <w:r w:rsidRPr="00402EFE">
        <w:t xml:space="preserve"> ;</w:t>
      </w:r>
    </w:p>
    <w:p w14:paraId="7AEEE90B" w14:textId="6FCB518A" w:rsidR="00F95BA1" w:rsidRPr="00402EFE" w:rsidRDefault="00F95BA1" w:rsidP="0040436D">
      <w:pPr>
        <w:pStyle w:val="Paragraphedeliste"/>
        <w:numPr>
          <w:ilvl w:val="0"/>
          <w:numId w:val="21"/>
        </w:numPr>
        <w:spacing w:before="0" w:after="160"/>
      </w:pPr>
      <w:r w:rsidRPr="00402EFE">
        <w:t>n'est redevable auprès des organismes de sécurité sociale d'aucune cotisation, contribution, majoration ou pénalité au titre des exigibilités antérieures à mars 2020 ;</w:t>
      </w:r>
    </w:p>
    <w:p w14:paraId="626EF2B0" w14:textId="1167465E" w:rsidR="00F95BA1" w:rsidRPr="00402EFE" w:rsidRDefault="00F95BA1" w:rsidP="0040436D">
      <w:pPr>
        <w:pStyle w:val="Paragraphedeliste"/>
        <w:numPr>
          <w:ilvl w:val="0"/>
          <w:numId w:val="21"/>
        </w:numPr>
        <w:spacing w:before="0" w:after="160"/>
      </w:pPr>
      <w:r w:rsidRPr="00402EFE">
        <w:t>ne fait pas l'objet d'une procédure collective à la date de la conclusion du plan d'apurement.</w:t>
      </w:r>
    </w:p>
    <w:p w14:paraId="5FF4CFE3" w14:textId="7B53C911" w:rsidR="00F95BA1" w:rsidRPr="00402EFE" w:rsidRDefault="0040436D" w:rsidP="00D45B6C">
      <w:pPr>
        <w:spacing w:before="0" w:after="160"/>
      </w:pPr>
      <w:r w:rsidRPr="00402EFE">
        <w:t xml:space="preserve">Elle ne peut excéder </w:t>
      </w:r>
      <w:r w:rsidR="0051571F" w:rsidRPr="00402EFE">
        <w:rPr>
          <w:b/>
          <w:bCs/>
        </w:rPr>
        <w:t>3 ans</w:t>
      </w:r>
      <w:r w:rsidRPr="00402EFE">
        <w:t xml:space="preserve"> (sauf exceptions). </w:t>
      </w:r>
    </w:p>
    <w:p w14:paraId="74C6AD50" w14:textId="4460DA7A" w:rsidR="00D45B6C" w:rsidRDefault="00D45B6C" w:rsidP="00D45B6C">
      <w:pPr>
        <w:spacing w:before="0" w:after="160"/>
      </w:pPr>
      <w:r w:rsidRPr="00402EFE">
        <w:t xml:space="preserve">A noter que ces plans d’apurements ne font pas obstacle </w:t>
      </w:r>
      <w:r>
        <w:t>à la délivrance par l’Urssaf des attestations de vigilance. L’</w:t>
      </w:r>
      <w:r w:rsidR="007847BA">
        <w:t>U</w:t>
      </w:r>
      <w:r>
        <w:t xml:space="preserve">rssaf précise en effet sur </w:t>
      </w:r>
      <w:hyperlink r:id="rId19" w:history="1">
        <w:r w:rsidRPr="00D45B6C">
          <w:rPr>
            <w:rStyle w:val="Lienhypertexte"/>
          </w:rPr>
          <w:t>son site</w:t>
        </w:r>
      </w:hyperlink>
      <w:r>
        <w:t xml:space="preserve"> que :  </w:t>
      </w:r>
    </w:p>
    <w:p w14:paraId="64410039" w14:textId="0FD5027E" w:rsidR="00D45B6C" w:rsidRPr="00D45B6C" w:rsidRDefault="00D45B6C" w:rsidP="00D45B6C">
      <w:pPr>
        <w:spacing w:before="0" w:after="160"/>
        <w:ind w:left="360"/>
        <w:rPr>
          <w:i/>
          <w:iCs/>
        </w:rPr>
      </w:pPr>
      <w:r>
        <w:t>« </w:t>
      </w:r>
      <w:r w:rsidRPr="00D45B6C">
        <w:rPr>
          <w:b/>
          <w:bCs/>
          <w:i/>
          <w:iCs/>
        </w:rPr>
        <w:t>L’attestation est délivrée</w:t>
      </w:r>
      <w:r w:rsidRPr="00D45B6C">
        <w:rPr>
          <w:i/>
          <w:iCs/>
        </w:rPr>
        <w:t xml:space="preserve"> dans les cas suivants :</w:t>
      </w:r>
    </w:p>
    <w:p w14:paraId="568B1535" w14:textId="2BCF40C3" w:rsidR="00D45B6C" w:rsidRPr="00D45B6C" w:rsidRDefault="00D45B6C" w:rsidP="00D45B6C">
      <w:pPr>
        <w:pStyle w:val="Paragraphedeliste"/>
        <w:numPr>
          <w:ilvl w:val="0"/>
          <w:numId w:val="20"/>
        </w:numPr>
        <w:spacing w:before="0" w:after="160"/>
        <w:ind w:left="1080"/>
        <w:rPr>
          <w:i/>
          <w:iCs/>
        </w:rPr>
      </w:pPr>
      <w:r w:rsidRPr="00D45B6C">
        <w:rPr>
          <w:i/>
          <w:iCs/>
        </w:rPr>
        <w:t xml:space="preserve">la personne acquitte des cotisations et contributions dues à leur date normale d’exigibilité, </w:t>
      </w:r>
      <w:r w:rsidRPr="00D45B6C">
        <w:rPr>
          <w:b/>
          <w:bCs/>
          <w:i/>
          <w:iCs/>
        </w:rPr>
        <w:t>ou a souscrit un plan d’apurement des cotisations et contributions restant dues qu’elle respecte</w:t>
      </w:r>
      <w:r w:rsidRPr="00D45B6C">
        <w:rPr>
          <w:i/>
          <w:iCs/>
        </w:rPr>
        <w:t>,</w:t>
      </w:r>
    </w:p>
    <w:p w14:paraId="30B96C2B" w14:textId="5E29A554" w:rsidR="00D45B6C" w:rsidRPr="00D45B6C" w:rsidRDefault="00D45B6C" w:rsidP="00D45B6C">
      <w:pPr>
        <w:pStyle w:val="Paragraphedeliste"/>
        <w:numPr>
          <w:ilvl w:val="0"/>
          <w:numId w:val="20"/>
        </w:numPr>
        <w:spacing w:before="0" w:after="160"/>
        <w:ind w:left="1080"/>
        <w:rPr>
          <w:i/>
          <w:iCs/>
        </w:rPr>
      </w:pPr>
      <w:r w:rsidRPr="00D45B6C">
        <w:rPr>
          <w:i/>
          <w:iCs/>
        </w:rPr>
        <w:t>elle acquitte les cotisations et contributions dues, mais elle n’est pas à jour par ailleurs dans le paiement des majorations et pénalités,</w:t>
      </w:r>
    </w:p>
    <w:p w14:paraId="731C0855" w14:textId="74A28FEC" w:rsidR="00D45B6C" w:rsidRDefault="00D45B6C" w:rsidP="00D45B6C">
      <w:pPr>
        <w:pStyle w:val="Paragraphedeliste"/>
        <w:numPr>
          <w:ilvl w:val="0"/>
          <w:numId w:val="20"/>
        </w:numPr>
        <w:spacing w:before="0" w:after="160"/>
        <w:ind w:left="1080"/>
      </w:pPr>
      <w:r w:rsidRPr="00D45B6C">
        <w:rPr>
          <w:i/>
          <w:iCs/>
        </w:rPr>
        <w:t>ou elle n’a pas acquitté les cotisations et contributions dues mais en conteste le montant par recours contentieux.</w:t>
      </w:r>
      <w:r>
        <w:t xml:space="preserve"> »</w:t>
      </w:r>
    </w:p>
    <w:p w14:paraId="1B7854C3" w14:textId="77777777" w:rsidR="00082F2A" w:rsidRDefault="00082F2A" w:rsidP="00082F2A">
      <w:pPr>
        <w:pStyle w:val="Paragraphedeliste"/>
        <w:spacing w:before="0" w:after="160"/>
        <w:ind w:left="1080"/>
      </w:pPr>
    </w:p>
    <w:p w14:paraId="27CB2979" w14:textId="13131B46" w:rsidR="0040436D" w:rsidRDefault="0040436D" w:rsidP="00F95BA1">
      <w:r>
        <w:rPr>
          <w:rFonts w:ascii="Avenir LT Std 65 Medium" w:eastAsia="Times New Roman" w:hAnsi="Avenir LT Std 65 Medium" w:cstheme="minorHAnsi"/>
          <w:b/>
          <w:bCs/>
          <w:color w:val="F59E33"/>
          <w:sz w:val="24"/>
          <w:szCs w:val="24"/>
        </w:rPr>
        <w:t>PROLONGATION DES REMISES PARTIELLES DE DETTES</w:t>
      </w:r>
      <w:r w:rsidR="00D349EB">
        <w:rPr>
          <w:rFonts w:ascii="Avenir LT Std 65 Medium" w:eastAsia="Times New Roman" w:hAnsi="Avenir LT Std 65 Medium" w:cstheme="minorHAnsi"/>
          <w:b/>
          <w:bCs/>
          <w:color w:val="F59E33"/>
          <w:sz w:val="24"/>
          <w:szCs w:val="24"/>
        </w:rPr>
        <w:t xml:space="preserve"> DANS LE CADRE DES PLANS D’APUREMENT</w:t>
      </w:r>
    </w:p>
    <w:p w14:paraId="09DD4076" w14:textId="72587269" w:rsidR="0034794B" w:rsidRDefault="0040436D" w:rsidP="00F95BA1">
      <w:r>
        <w:t>En tout état de cause</w:t>
      </w:r>
      <w:r w:rsidR="00F95BA1">
        <w:t xml:space="preserve">, si l’entreprise de </w:t>
      </w:r>
      <w:r w:rsidR="00F95BA1">
        <w:rPr>
          <w:b/>
          <w:bCs/>
        </w:rPr>
        <w:t>moins de 250 salariés</w:t>
      </w:r>
      <w:r w:rsidR="00F95BA1">
        <w:t xml:space="preserve"> ne remplit pas les conditions pour bénéficier d’une exonération de charges ni d’une aide au paiement, et si son </w:t>
      </w:r>
      <w:r w:rsidR="00F95BA1">
        <w:rPr>
          <w:b/>
          <w:bCs/>
        </w:rPr>
        <w:t>activité a été réduite de 50%</w:t>
      </w:r>
      <w:r w:rsidR="00F95BA1">
        <w:rPr>
          <w:i/>
          <w:iCs/>
        </w:rPr>
        <w:t>,</w:t>
      </w:r>
      <w:r w:rsidR="00F95BA1">
        <w:t xml:space="preserve"> elle pourra demander à bénéficier, dans le cadre de ces plans </w:t>
      </w:r>
      <w:r w:rsidR="00F95BA1">
        <w:lastRenderedPageBreak/>
        <w:t xml:space="preserve">d’apurement, d’une </w:t>
      </w:r>
      <w:r w:rsidR="00F95BA1" w:rsidRPr="00F95BA1">
        <w:rPr>
          <w:b/>
          <w:bCs/>
        </w:rPr>
        <w:t>remise partielle des dettes de cotisations</w:t>
      </w:r>
      <w:r w:rsidR="00F95BA1">
        <w:t xml:space="preserve"> et contributions patronales pouvant aller jusqu’à 50%, sur la période du 1</w:t>
      </w:r>
      <w:r w:rsidR="00F95BA1">
        <w:rPr>
          <w:vertAlign w:val="superscript"/>
        </w:rPr>
        <w:t>er </w:t>
      </w:r>
      <w:r w:rsidR="00F95BA1">
        <w:t xml:space="preserve">février 2020 au 31 mai 2020. </w:t>
      </w:r>
    </w:p>
    <w:p w14:paraId="462A217A" w14:textId="77777777" w:rsidR="00082F2A" w:rsidRDefault="00082F2A" w:rsidP="00F95BA1"/>
    <w:p w14:paraId="4B4512F5" w14:textId="2054C151" w:rsidR="001B503A" w:rsidRDefault="00DA31F2" w:rsidP="001B503A">
      <w:pPr>
        <w:ind w:firstLine="708"/>
      </w:pPr>
      <w:r>
        <w:rPr>
          <w:rFonts w:ascii="Avenir LT Std 65 Medium" w:eastAsia="Times New Roman" w:hAnsi="Avenir LT Std 65 Medium" w:cstheme="minorHAnsi"/>
          <w:b/>
          <w:bCs/>
          <w:color w:val="F59E33"/>
          <w:sz w:val="24"/>
          <w:szCs w:val="24"/>
        </w:rPr>
        <w:t>CONDITIONS D’APPLICATION</w:t>
      </w:r>
    </w:p>
    <w:p w14:paraId="0D25BAC0" w14:textId="77777777" w:rsidR="0034794B" w:rsidRPr="00402EFE" w:rsidRDefault="00F95BA1" w:rsidP="00F95BA1">
      <w:r w:rsidRPr="00402EFE">
        <w:t>L’employeur qui souhaiterait bénéficier de ces remises partielles de dettes sociales doit</w:t>
      </w:r>
      <w:r w:rsidR="0034794B" w:rsidRPr="00402EFE">
        <w:t> :</w:t>
      </w:r>
    </w:p>
    <w:p w14:paraId="16C80252" w14:textId="6F47CFA7" w:rsidR="0034794B" w:rsidRPr="00402EFE" w:rsidRDefault="0034794B" w:rsidP="0034794B">
      <w:pPr>
        <w:pStyle w:val="Paragraphedeliste"/>
        <w:numPr>
          <w:ilvl w:val="0"/>
          <w:numId w:val="22"/>
        </w:numPr>
      </w:pPr>
      <w:r w:rsidRPr="00402EFE">
        <w:t>Ne pas remplir les conditions pour bénéficier d’une exonération ou d’une aide au paiement ;</w:t>
      </w:r>
    </w:p>
    <w:p w14:paraId="01E5B634" w14:textId="479BB4D1" w:rsidR="00F95BA1" w:rsidRPr="00402EFE" w:rsidRDefault="0034794B" w:rsidP="0034794B">
      <w:pPr>
        <w:pStyle w:val="Paragraphedeliste"/>
        <w:numPr>
          <w:ilvl w:val="0"/>
          <w:numId w:val="22"/>
        </w:numPr>
      </w:pPr>
      <w:r w:rsidRPr="00402EFE">
        <w:t>Être</w:t>
      </w:r>
      <w:r w:rsidR="00F95BA1" w:rsidRPr="00402EFE">
        <w:t xml:space="preserve"> à jour de ses obligations déclaratives ou de paiement à l’égard de l’administration</w:t>
      </w:r>
      <w:r w:rsidRPr="00402EFE">
        <w:t> ;</w:t>
      </w:r>
    </w:p>
    <w:p w14:paraId="3CCE9348" w14:textId="088C1F97" w:rsidR="0051571F" w:rsidRPr="00402EFE" w:rsidRDefault="0051571F" w:rsidP="0034794B">
      <w:pPr>
        <w:pStyle w:val="Paragraphedeliste"/>
        <w:numPr>
          <w:ilvl w:val="0"/>
          <w:numId w:val="22"/>
        </w:numPr>
      </w:pPr>
      <w:r w:rsidRPr="00402EFE">
        <w:t xml:space="preserve">Avoir constaté une </w:t>
      </w:r>
      <w:r w:rsidR="0034794B" w:rsidRPr="00402EFE">
        <w:t>baisse</w:t>
      </w:r>
      <w:r w:rsidRPr="00402EFE">
        <w:t xml:space="preserve"> de </w:t>
      </w:r>
      <w:r w:rsidR="0034794B" w:rsidRPr="00402EFE">
        <w:t>CA</w:t>
      </w:r>
      <w:r w:rsidRPr="00402EFE">
        <w:t xml:space="preserve"> d'au moins 50 % au cours de la période courant du 1</w:t>
      </w:r>
      <w:r w:rsidR="0034794B" w:rsidRPr="00402EFE">
        <w:rPr>
          <w:vertAlign w:val="superscript"/>
        </w:rPr>
        <w:t>er</w:t>
      </w:r>
      <w:r w:rsidR="0034794B" w:rsidRPr="00402EFE">
        <w:t xml:space="preserve"> </w:t>
      </w:r>
      <w:r w:rsidRPr="00402EFE">
        <w:t>février 2020 au 31 mai 2020 ou sur la période courant du 15 mars 2020 au 15 mai 2020 par rapport à la même période l'année précédente ;</w:t>
      </w:r>
    </w:p>
    <w:p w14:paraId="5BF50D8B" w14:textId="122DDBD7" w:rsidR="0051571F" w:rsidRPr="00402EFE" w:rsidRDefault="0051571F" w:rsidP="0034794B">
      <w:pPr>
        <w:pStyle w:val="Paragraphedeliste"/>
        <w:numPr>
          <w:ilvl w:val="0"/>
          <w:numId w:val="22"/>
        </w:numPr>
      </w:pPr>
      <w:r w:rsidRPr="00402EFE">
        <w:t>Attester de difficultés économiques particulières mettant dans l'impossibilité de faire face aux échéances du plan d'apurement conclu ;</w:t>
      </w:r>
    </w:p>
    <w:p w14:paraId="250409EE" w14:textId="31825172" w:rsidR="0051571F" w:rsidRPr="00402EFE" w:rsidRDefault="0051571F" w:rsidP="0034794B">
      <w:pPr>
        <w:pStyle w:val="Paragraphedeliste"/>
        <w:numPr>
          <w:ilvl w:val="0"/>
          <w:numId w:val="22"/>
        </w:numPr>
      </w:pPr>
      <w:r w:rsidRPr="00402EFE">
        <w:t>Attester avoir sollicité, pour le paiement des dettes dues le cas échéant à ses créanciers privés, un étalement de paiement, des facilités de financement supplémentaires ou des remises de dettes. La demande précise l'identité de ces créanciers, les dettes concernées, leur montant, leur date d'exigibilité et, le cas échéant, les conditions auxquelles les remises ou échelonnement sont subordonnés.</w:t>
      </w:r>
    </w:p>
    <w:p w14:paraId="32613EB8" w14:textId="37B8948E" w:rsidR="0051571F" w:rsidRPr="00402EFE" w:rsidRDefault="0051571F" w:rsidP="0051571F">
      <w:pPr>
        <w:spacing w:before="0" w:after="160"/>
      </w:pPr>
      <w:r w:rsidRPr="00402EFE">
        <w:t xml:space="preserve">La </w:t>
      </w:r>
      <w:r w:rsidRPr="00402EFE">
        <w:rPr>
          <w:b/>
          <w:bCs/>
        </w:rPr>
        <w:t xml:space="preserve">baisse de </w:t>
      </w:r>
      <w:r w:rsidR="0034794B" w:rsidRPr="00402EFE">
        <w:rPr>
          <w:b/>
          <w:bCs/>
        </w:rPr>
        <w:t>CA</w:t>
      </w:r>
      <w:r w:rsidRPr="00402EFE">
        <w:t xml:space="preserve"> est égale à la différence entre :</w:t>
      </w:r>
    </w:p>
    <w:p w14:paraId="57AFF72E" w14:textId="4205F412" w:rsidR="0051571F" w:rsidRPr="00402EFE" w:rsidRDefault="0051571F" w:rsidP="0034794B">
      <w:pPr>
        <w:pStyle w:val="Paragraphedeliste"/>
        <w:numPr>
          <w:ilvl w:val="0"/>
          <w:numId w:val="23"/>
        </w:numPr>
        <w:spacing w:before="0" w:after="160"/>
      </w:pPr>
      <w:r w:rsidRPr="00402EFE">
        <w:t xml:space="preserve">le </w:t>
      </w:r>
      <w:r w:rsidR="0034794B" w:rsidRPr="00402EFE">
        <w:t>CA</w:t>
      </w:r>
      <w:r w:rsidRPr="00402EFE">
        <w:t xml:space="preserve"> cumulé réalisé au cours de la période courant du 1</w:t>
      </w:r>
      <w:r w:rsidR="0034794B" w:rsidRPr="00402EFE">
        <w:rPr>
          <w:vertAlign w:val="superscript"/>
        </w:rPr>
        <w:t>er</w:t>
      </w:r>
      <w:r w:rsidRPr="00402EFE">
        <w:t xml:space="preserve"> février 2020 au 31 mai 2020 ou, au choix du demandeur, sur la période courant du 15 mars 2020 au 15 mai 2020 ;</w:t>
      </w:r>
    </w:p>
    <w:p w14:paraId="40C6799E" w14:textId="50989706" w:rsidR="0051571F" w:rsidRPr="00402EFE" w:rsidRDefault="006D4899" w:rsidP="0034794B">
      <w:pPr>
        <w:pStyle w:val="Paragraphedeliste"/>
        <w:numPr>
          <w:ilvl w:val="0"/>
          <w:numId w:val="23"/>
        </w:numPr>
        <w:spacing w:before="0" w:after="160"/>
      </w:pPr>
      <w:r w:rsidRPr="00402EFE">
        <w:t xml:space="preserve">et, </w:t>
      </w:r>
      <w:r w:rsidR="0051571F" w:rsidRPr="00402EFE">
        <w:t>au choix du demandeur :</w:t>
      </w:r>
    </w:p>
    <w:p w14:paraId="19348109" w14:textId="32A922A6" w:rsidR="0051571F" w:rsidRPr="00402EFE" w:rsidRDefault="0051571F" w:rsidP="0034794B">
      <w:pPr>
        <w:pStyle w:val="Paragraphedeliste"/>
        <w:numPr>
          <w:ilvl w:val="1"/>
          <w:numId w:val="23"/>
        </w:numPr>
        <w:spacing w:before="0" w:after="160"/>
      </w:pPr>
      <w:r w:rsidRPr="00402EFE">
        <w:t xml:space="preserve">le </w:t>
      </w:r>
      <w:r w:rsidR="0034794B" w:rsidRPr="00402EFE">
        <w:t>CA</w:t>
      </w:r>
      <w:r w:rsidRPr="00402EFE">
        <w:t xml:space="preserve"> cumulé réalisé durant la même période de l'année précédente ;</w:t>
      </w:r>
    </w:p>
    <w:p w14:paraId="0E46F98F" w14:textId="1E7A5FFB" w:rsidR="0051571F" w:rsidRPr="00402EFE" w:rsidRDefault="0051571F" w:rsidP="0034794B">
      <w:pPr>
        <w:pStyle w:val="Paragraphedeliste"/>
        <w:numPr>
          <w:ilvl w:val="1"/>
          <w:numId w:val="23"/>
        </w:numPr>
        <w:spacing w:before="0" w:after="160"/>
      </w:pPr>
      <w:r w:rsidRPr="00402EFE">
        <w:t xml:space="preserve">ou, le </w:t>
      </w:r>
      <w:r w:rsidR="0034794B" w:rsidRPr="00402EFE">
        <w:t>CA</w:t>
      </w:r>
      <w:r w:rsidRPr="00402EFE">
        <w:t xml:space="preserve"> mensuel moyen de l'année 2019 ramené sur respectivement </w:t>
      </w:r>
      <w:r w:rsidR="001B503A" w:rsidRPr="00402EFE">
        <w:t>4</w:t>
      </w:r>
      <w:r w:rsidRPr="00402EFE">
        <w:t xml:space="preserve"> ou </w:t>
      </w:r>
      <w:r w:rsidR="001B503A" w:rsidRPr="00402EFE">
        <w:t>2</w:t>
      </w:r>
      <w:r w:rsidRPr="00402EFE">
        <w:t xml:space="preserve"> mois selon le choix prévu au </w:t>
      </w:r>
      <w:r w:rsidR="001B503A" w:rsidRPr="00402EFE">
        <w:t>premier tiret</w:t>
      </w:r>
      <w:r w:rsidRPr="00402EFE">
        <w:t xml:space="preserve"> ;</w:t>
      </w:r>
    </w:p>
    <w:p w14:paraId="53E09AC5" w14:textId="38F66926" w:rsidR="0051571F" w:rsidRPr="00402EFE" w:rsidRDefault="0051571F" w:rsidP="0034794B">
      <w:pPr>
        <w:pStyle w:val="Paragraphedeliste"/>
        <w:numPr>
          <w:ilvl w:val="1"/>
          <w:numId w:val="23"/>
        </w:numPr>
        <w:spacing w:before="0" w:after="160"/>
      </w:pPr>
      <w:r w:rsidRPr="00402EFE">
        <w:t>ou, pour les entreprises créées entre le 1</w:t>
      </w:r>
      <w:r w:rsidR="001B503A" w:rsidRPr="00402EFE">
        <w:rPr>
          <w:vertAlign w:val="superscript"/>
        </w:rPr>
        <w:t>er</w:t>
      </w:r>
      <w:r w:rsidR="001B503A" w:rsidRPr="00402EFE">
        <w:t xml:space="preserve"> </w:t>
      </w:r>
      <w:r w:rsidRPr="00402EFE">
        <w:t>février 2019 et le 1</w:t>
      </w:r>
      <w:r w:rsidR="001B503A" w:rsidRPr="00402EFE">
        <w:rPr>
          <w:vertAlign w:val="superscript"/>
        </w:rPr>
        <w:t>er</w:t>
      </w:r>
      <w:r w:rsidR="001B503A" w:rsidRPr="00402EFE">
        <w:t xml:space="preserve"> </w:t>
      </w:r>
      <w:r w:rsidRPr="00402EFE">
        <w:t xml:space="preserve">janvier 2020, le </w:t>
      </w:r>
      <w:r w:rsidR="001B503A" w:rsidRPr="00402EFE">
        <w:t>CA</w:t>
      </w:r>
      <w:r w:rsidRPr="00402EFE">
        <w:t xml:space="preserve"> mensuel moyen sur la période comprise entre la date de création de l'entreprise et le 31 janvier 2020, ramené sur respectivement </w:t>
      </w:r>
      <w:r w:rsidR="001B503A" w:rsidRPr="00402EFE">
        <w:t>4</w:t>
      </w:r>
      <w:r w:rsidRPr="00402EFE">
        <w:t xml:space="preserve"> ou </w:t>
      </w:r>
      <w:r w:rsidR="001B503A" w:rsidRPr="00402EFE">
        <w:t>2</w:t>
      </w:r>
      <w:r w:rsidRPr="00402EFE">
        <w:t xml:space="preserve"> mois selon le choix prévu au </w:t>
      </w:r>
      <w:r w:rsidR="001B503A" w:rsidRPr="00402EFE">
        <w:t>premier tiret</w:t>
      </w:r>
      <w:r w:rsidRPr="00402EFE">
        <w:t xml:space="preserve"> ;</w:t>
      </w:r>
    </w:p>
    <w:p w14:paraId="6A9E5DC4" w14:textId="656F7D63" w:rsidR="0051571F" w:rsidRPr="00402EFE" w:rsidRDefault="0051571F" w:rsidP="0034794B">
      <w:pPr>
        <w:pStyle w:val="Paragraphedeliste"/>
        <w:numPr>
          <w:ilvl w:val="1"/>
          <w:numId w:val="23"/>
        </w:numPr>
        <w:spacing w:before="0" w:after="160"/>
      </w:pPr>
      <w:r w:rsidRPr="00402EFE">
        <w:t>ou, pour les personnes physiques ayant bénéficié d'un congé pour maladie, accident du travail ou maternité durant la période comprise entre le 1</w:t>
      </w:r>
      <w:r w:rsidR="001B503A" w:rsidRPr="00402EFE">
        <w:rPr>
          <w:vertAlign w:val="superscript"/>
        </w:rPr>
        <w:t>er</w:t>
      </w:r>
      <w:r w:rsidRPr="00402EFE">
        <w:t xml:space="preserve"> février 2019 et le 31 mai 2019, ou pour les personnes morales dont le dirigeant a bénéficié d'un tel congé pendant cette période, par rapport au </w:t>
      </w:r>
      <w:r w:rsidR="001B503A" w:rsidRPr="00402EFE">
        <w:t>CA</w:t>
      </w:r>
      <w:r w:rsidRPr="00402EFE">
        <w:t xml:space="preserve"> mensuel moyen sur la période comprise entre le 31 mai 2019 et le 31 janvier 2020, apprécié sur </w:t>
      </w:r>
      <w:r w:rsidR="006D4899" w:rsidRPr="00402EFE">
        <w:t>4</w:t>
      </w:r>
      <w:r w:rsidRPr="00402EFE">
        <w:t xml:space="preserve"> ou </w:t>
      </w:r>
      <w:r w:rsidR="006D4899" w:rsidRPr="00402EFE">
        <w:t>2</w:t>
      </w:r>
      <w:r w:rsidRPr="00402EFE">
        <w:t xml:space="preserve"> mois, selon le choix prévu au </w:t>
      </w:r>
      <w:r w:rsidR="001B503A" w:rsidRPr="00402EFE">
        <w:t>premier tiret</w:t>
      </w:r>
      <w:r w:rsidRPr="00402EFE">
        <w:t>.</w:t>
      </w:r>
    </w:p>
    <w:p w14:paraId="4A42FE71" w14:textId="4C235C91" w:rsidR="0051571F" w:rsidRPr="00402EFE" w:rsidRDefault="0051571F" w:rsidP="001B503A">
      <w:pPr>
        <w:spacing w:before="0" w:after="160"/>
      </w:pPr>
      <w:r w:rsidRPr="00402EFE">
        <w:t>Pour les entreprises créées après le 1</w:t>
      </w:r>
      <w:r w:rsidR="00864CE6" w:rsidRPr="00402EFE">
        <w:rPr>
          <w:vertAlign w:val="superscript"/>
        </w:rPr>
        <w:t>er</w:t>
      </w:r>
      <w:r w:rsidR="00864CE6" w:rsidRPr="00402EFE">
        <w:t xml:space="preserve"> </w:t>
      </w:r>
      <w:r w:rsidRPr="00402EFE">
        <w:t xml:space="preserve">janvier 2020 et avant le 10 mars 2020, la perte de </w:t>
      </w:r>
      <w:r w:rsidR="006D4899" w:rsidRPr="00402EFE">
        <w:t>CA</w:t>
      </w:r>
      <w:r w:rsidRPr="00402EFE">
        <w:t xml:space="preserve"> est définie comme la différence entre, d'une part, le </w:t>
      </w:r>
      <w:r w:rsidR="006D4899" w:rsidRPr="00402EFE">
        <w:t>CA</w:t>
      </w:r>
      <w:r w:rsidRPr="00402EFE">
        <w:t xml:space="preserve"> réalisé entre le 15 mars 2020 et le 15 mai 2020 et le </w:t>
      </w:r>
      <w:r w:rsidR="006D4899" w:rsidRPr="00402EFE">
        <w:t>CA</w:t>
      </w:r>
      <w:r w:rsidRPr="00402EFE">
        <w:t xml:space="preserve"> réalisé entre la date de création de l'entreprise et le 15 mars 2020 ramené sur deux mois.</w:t>
      </w:r>
    </w:p>
    <w:p w14:paraId="2F097171" w14:textId="77777777" w:rsidR="00E97968" w:rsidRPr="00402EFE" w:rsidRDefault="00E97968">
      <w:pPr>
        <w:spacing w:before="0" w:after="160"/>
        <w:jc w:val="left"/>
        <w:rPr>
          <w:rFonts w:ascii="Avenir LT Std 65 Medium" w:eastAsia="Times New Roman" w:hAnsi="Avenir LT Std 65 Medium" w:cstheme="minorHAnsi"/>
          <w:b/>
          <w:bCs/>
          <w:sz w:val="24"/>
          <w:szCs w:val="24"/>
        </w:rPr>
      </w:pPr>
      <w:r w:rsidRPr="00402EFE">
        <w:rPr>
          <w:rFonts w:ascii="Avenir LT Std 65 Medium" w:eastAsia="Times New Roman" w:hAnsi="Avenir LT Std 65 Medium" w:cstheme="minorHAnsi"/>
          <w:b/>
          <w:bCs/>
          <w:sz w:val="24"/>
          <w:szCs w:val="24"/>
        </w:rPr>
        <w:br w:type="page"/>
      </w:r>
    </w:p>
    <w:p w14:paraId="74B66942" w14:textId="59586437" w:rsidR="001B503A" w:rsidRDefault="00D349EB" w:rsidP="001B503A">
      <w:pPr>
        <w:ind w:firstLine="708"/>
      </w:pPr>
      <w:r>
        <w:rPr>
          <w:rFonts w:ascii="Avenir LT Std 65 Medium" w:eastAsia="Times New Roman" w:hAnsi="Avenir LT Std 65 Medium" w:cstheme="minorHAnsi"/>
          <w:b/>
          <w:bCs/>
          <w:color w:val="F59E33"/>
          <w:sz w:val="24"/>
          <w:szCs w:val="24"/>
        </w:rPr>
        <w:lastRenderedPageBreak/>
        <w:t>PROCEDURE</w:t>
      </w:r>
    </w:p>
    <w:p w14:paraId="075B565F" w14:textId="309D2292" w:rsidR="0034794B" w:rsidRPr="00402EFE" w:rsidRDefault="0034794B" w:rsidP="0034794B">
      <w:pPr>
        <w:spacing w:before="0" w:after="160"/>
      </w:pPr>
      <w:r w:rsidRPr="00402EFE">
        <w:t>La demande de remise s’effectue sur www.urssaf.fr via le formulaire accessible depuis la rubrique « Messagerie » de l’espace en ligne, après sélection du motif « Un paiement ».</w:t>
      </w:r>
      <w:r w:rsidR="00864CE6" w:rsidRPr="00402EFE">
        <w:t xml:space="preserve"> L’Administration est par ailleurs en droit de demander certains justificatifs. </w:t>
      </w:r>
    </w:p>
    <w:p w14:paraId="36D554E3" w14:textId="1E51FCF4" w:rsidR="0051571F" w:rsidRPr="00402EFE" w:rsidRDefault="001B503A" w:rsidP="0051571F">
      <w:pPr>
        <w:spacing w:before="0" w:after="160"/>
      </w:pPr>
      <w:r w:rsidRPr="00402EFE">
        <w:rPr>
          <w:u w:val="single"/>
        </w:rPr>
        <w:t>A noter</w:t>
      </w:r>
      <w:r w:rsidR="0051571F" w:rsidRPr="00402EFE">
        <w:t xml:space="preserve"> : </w:t>
      </w:r>
    </w:p>
    <w:p w14:paraId="0C3544F6" w14:textId="32C8CDF3" w:rsidR="0051571F" w:rsidRPr="00402EFE" w:rsidRDefault="0051571F" w:rsidP="0051571F">
      <w:pPr>
        <w:spacing w:before="0" w:after="160"/>
      </w:pPr>
      <w:r w:rsidRPr="00402EFE">
        <w:t xml:space="preserve">S'agissant des </w:t>
      </w:r>
      <w:r w:rsidRPr="00402EFE">
        <w:rPr>
          <w:b/>
          <w:bCs/>
        </w:rPr>
        <w:t>employeurs</w:t>
      </w:r>
      <w:r w:rsidRPr="00402EFE">
        <w:t xml:space="preserve">, la demande, même anticipée, ne peut être acceptée qu'après le </w:t>
      </w:r>
      <w:r w:rsidRPr="00402EFE">
        <w:rPr>
          <w:b/>
          <w:bCs/>
        </w:rPr>
        <w:t>paiement de la totalité des échéances du plan comprenant des cotisations salariales</w:t>
      </w:r>
      <w:r w:rsidRPr="00402EFE">
        <w:t xml:space="preserve">. En l'absence de cotisations salariales dues et sous réserve que les conditions </w:t>
      </w:r>
      <w:r w:rsidR="001B503A" w:rsidRPr="00402EFE">
        <w:t>vues précédemment soi</w:t>
      </w:r>
      <w:r w:rsidR="006D4899" w:rsidRPr="00402EFE">
        <w:t>en</w:t>
      </w:r>
      <w:r w:rsidR="001B503A" w:rsidRPr="00402EFE">
        <w:t>t remplies</w:t>
      </w:r>
      <w:r w:rsidRPr="00402EFE">
        <w:t>, cette demande peut être prise en compte dès la conclusion du plan. La remise ne peut porter que sur les cotisations et contributions dues au titre des périodes d'activité courant du 1</w:t>
      </w:r>
      <w:r w:rsidR="00D349EB" w:rsidRPr="00402EFE">
        <w:rPr>
          <w:vertAlign w:val="superscript"/>
        </w:rPr>
        <w:t>er</w:t>
      </w:r>
      <w:r w:rsidR="00D349EB" w:rsidRPr="00402EFE">
        <w:t xml:space="preserve"> </w:t>
      </w:r>
      <w:r w:rsidRPr="00402EFE">
        <w:t>février 2020 au 31 mai 2020.</w:t>
      </w:r>
    </w:p>
    <w:p w14:paraId="13A26068" w14:textId="5774C47D" w:rsidR="0051571F" w:rsidRPr="00402EFE" w:rsidRDefault="0051571F" w:rsidP="0051571F">
      <w:pPr>
        <w:spacing w:before="0" w:after="160"/>
      </w:pPr>
      <w:r w:rsidRPr="00402EFE">
        <w:t xml:space="preserve">S'agissant des </w:t>
      </w:r>
      <w:r w:rsidRPr="00402EFE">
        <w:rPr>
          <w:b/>
          <w:bCs/>
        </w:rPr>
        <w:t>travailleurs indépendants</w:t>
      </w:r>
      <w:r w:rsidRPr="00402EFE">
        <w:t xml:space="preserve">, la remise ne peut porter que sur </w:t>
      </w:r>
      <w:r w:rsidR="00D349EB" w:rsidRPr="00402EFE">
        <w:t xml:space="preserve">les </w:t>
      </w:r>
      <w:r w:rsidR="00D349EB" w:rsidRPr="00402EFE">
        <w:rPr>
          <w:b/>
          <w:bCs/>
        </w:rPr>
        <w:t>sommes restantes</w:t>
      </w:r>
      <w:r w:rsidRPr="00402EFE">
        <w:rPr>
          <w:b/>
          <w:bCs/>
        </w:rPr>
        <w:t xml:space="preserve"> dues </w:t>
      </w:r>
      <w:r w:rsidRPr="00402EFE">
        <w:t>au titre des cotisations et contributions 2020.</w:t>
      </w:r>
    </w:p>
    <w:p w14:paraId="78E7F6AE" w14:textId="0D185582" w:rsidR="0051571F" w:rsidRPr="00402EFE" w:rsidRDefault="00D349EB" w:rsidP="0051571F">
      <w:pPr>
        <w:spacing w:before="0" w:after="160"/>
      </w:pPr>
      <w:r w:rsidRPr="00402EFE">
        <w:t xml:space="preserve">L’Urssaf dispose ensuite d’un </w:t>
      </w:r>
      <w:r w:rsidRPr="00402EFE">
        <w:rPr>
          <w:b/>
          <w:bCs/>
        </w:rPr>
        <w:t xml:space="preserve">délai de </w:t>
      </w:r>
      <w:r w:rsidR="0051571F" w:rsidRPr="00402EFE">
        <w:rPr>
          <w:b/>
          <w:bCs/>
        </w:rPr>
        <w:t>2 mois max</w:t>
      </w:r>
      <w:r w:rsidRPr="00402EFE">
        <w:rPr>
          <w:b/>
          <w:bCs/>
        </w:rPr>
        <w:t>imum</w:t>
      </w:r>
      <w:r w:rsidRPr="00402EFE">
        <w:t xml:space="preserve"> pour répondre à la demande. </w:t>
      </w:r>
      <w:r w:rsidRPr="00402EFE">
        <w:rPr>
          <w:b/>
          <w:bCs/>
        </w:rPr>
        <w:t>L’absence</w:t>
      </w:r>
      <w:r w:rsidRPr="00402EFE">
        <w:t xml:space="preserve"> de réponse équivaut à un </w:t>
      </w:r>
      <w:r w:rsidRPr="00402EFE">
        <w:rPr>
          <w:b/>
          <w:bCs/>
        </w:rPr>
        <w:t>refus</w:t>
      </w:r>
      <w:r w:rsidRPr="00402EFE">
        <w:t xml:space="preserve">. L’Administration pourra toutefois dans ce cadre proposer une </w:t>
      </w:r>
      <w:r w:rsidR="0051571F" w:rsidRPr="00402EFE">
        <w:t>modification des modalités du plan d’apurement</w:t>
      </w:r>
      <w:r w:rsidRPr="00402EFE">
        <w:t xml:space="preserve">. </w:t>
      </w:r>
    </w:p>
    <w:p w14:paraId="30B79EAB" w14:textId="5D2C63FF" w:rsidR="0051571F" w:rsidRPr="00402EFE" w:rsidRDefault="0051571F" w:rsidP="0051571F">
      <w:pPr>
        <w:spacing w:before="0" w:after="160"/>
      </w:pPr>
      <w:r w:rsidRPr="00402EFE">
        <w:t xml:space="preserve">La remise partielle est calculée et </w:t>
      </w:r>
      <w:r w:rsidRPr="00402EFE">
        <w:rPr>
          <w:b/>
          <w:bCs/>
        </w:rPr>
        <w:t>imputée sur le montant de la dette éligible restant due au moment de la demande,</w:t>
      </w:r>
      <w:r w:rsidRPr="00402EFE">
        <w:t xml:space="preserve"> en réduisant le nombre ou le montant des échéances du plan restant à acquitter, dans la limite de </w:t>
      </w:r>
      <w:r w:rsidR="00D349EB" w:rsidRPr="00402EFE">
        <w:t xml:space="preserve">3 ans. </w:t>
      </w:r>
    </w:p>
    <w:p w14:paraId="188B77C8" w14:textId="67CD0F72" w:rsidR="0051571F" w:rsidRPr="00402EFE" w:rsidRDefault="0051571F" w:rsidP="0051571F">
      <w:pPr>
        <w:spacing w:before="0" w:after="160"/>
      </w:pPr>
      <w:r w:rsidRPr="00402EFE">
        <w:t>La remise n'est définitivement acquise qu'au terme du plan et sous condition d'avoir acquitté la totalité des montants n'ayant pas fait l'objet d'une remise.</w:t>
      </w:r>
    </w:p>
    <w:p w14:paraId="006970E7" w14:textId="2B9865D5" w:rsidR="00D349EB" w:rsidRDefault="00D349EB" w:rsidP="00D349EB">
      <w:pPr>
        <w:ind w:firstLine="708"/>
      </w:pPr>
      <w:r>
        <w:rPr>
          <w:rFonts w:ascii="Avenir LT Std 65 Medium" w:eastAsia="Times New Roman" w:hAnsi="Avenir LT Std 65 Medium" w:cstheme="minorHAnsi"/>
          <w:b/>
          <w:bCs/>
          <w:color w:val="F59E33"/>
          <w:sz w:val="24"/>
          <w:szCs w:val="24"/>
        </w:rPr>
        <w:t>MONTANT DE LA REMISE</w:t>
      </w:r>
    </w:p>
    <w:p w14:paraId="04DB2AFE" w14:textId="13B5FB35" w:rsidR="0051571F" w:rsidRPr="00402EFE" w:rsidRDefault="0051571F" w:rsidP="0051571F">
      <w:pPr>
        <w:shd w:val="clear" w:color="auto" w:fill="FFFFFF"/>
        <w:spacing w:before="0" w:after="240" w:line="240" w:lineRule="auto"/>
        <w:jc w:val="left"/>
        <w:rPr>
          <w:rFonts w:eastAsia="Times New Roman" w:cs="Arial"/>
          <w:u w:val="single"/>
          <w:lang w:eastAsia="fr-FR"/>
        </w:rPr>
      </w:pPr>
      <w:r w:rsidRPr="00402EFE">
        <w:rPr>
          <w:rFonts w:eastAsia="Times New Roman" w:cs="Arial"/>
          <w:u w:val="single"/>
          <w:lang w:eastAsia="fr-FR"/>
        </w:rPr>
        <w:t>Pour les employeurs :</w:t>
      </w:r>
    </w:p>
    <w:tbl>
      <w:tblPr>
        <w:tblStyle w:val="Grilledutableau"/>
        <w:tblW w:w="0" w:type="auto"/>
        <w:tblLook w:val="04A0" w:firstRow="1" w:lastRow="0" w:firstColumn="1" w:lastColumn="0" w:noHBand="0" w:noVBand="1"/>
      </w:tblPr>
      <w:tblGrid>
        <w:gridCol w:w="2547"/>
        <w:gridCol w:w="6515"/>
      </w:tblGrid>
      <w:tr w:rsidR="00402EFE" w:rsidRPr="00402EFE" w14:paraId="0DD1C205" w14:textId="77777777" w:rsidTr="00864CE6">
        <w:tc>
          <w:tcPr>
            <w:tcW w:w="2547" w:type="dxa"/>
            <w:vAlign w:val="center"/>
          </w:tcPr>
          <w:p w14:paraId="21287C92" w14:textId="35A11777" w:rsidR="00864CE6" w:rsidRPr="00402EFE" w:rsidRDefault="00864CE6" w:rsidP="00864CE6">
            <w:pPr>
              <w:spacing w:before="0" w:after="240"/>
              <w:jc w:val="center"/>
              <w:rPr>
                <w:rFonts w:eastAsia="Times New Roman" w:cs="Arial"/>
                <w:u w:val="single"/>
                <w:lang w:eastAsia="fr-FR"/>
              </w:rPr>
            </w:pPr>
            <w:r w:rsidRPr="00402EFE">
              <w:rPr>
                <w:rFonts w:eastAsia="Times New Roman" w:cs="Arial"/>
                <w:u w:val="single"/>
                <w:lang w:eastAsia="fr-FR"/>
              </w:rPr>
              <w:t>Baisse de CA</w:t>
            </w:r>
          </w:p>
        </w:tc>
        <w:tc>
          <w:tcPr>
            <w:tcW w:w="6515" w:type="dxa"/>
            <w:vAlign w:val="center"/>
          </w:tcPr>
          <w:p w14:paraId="293FC0BC" w14:textId="54DA993E" w:rsidR="00864CE6" w:rsidRPr="00402EFE" w:rsidRDefault="00864CE6" w:rsidP="00864CE6">
            <w:pPr>
              <w:spacing w:before="0" w:after="240"/>
              <w:jc w:val="center"/>
              <w:rPr>
                <w:rFonts w:eastAsia="Times New Roman" w:cs="Arial"/>
                <w:u w:val="single"/>
                <w:lang w:eastAsia="fr-FR"/>
              </w:rPr>
            </w:pPr>
            <w:r w:rsidRPr="00402EFE">
              <w:rPr>
                <w:rFonts w:eastAsia="Times New Roman" w:cs="Arial"/>
                <w:u w:val="single"/>
                <w:lang w:eastAsia="fr-FR"/>
              </w:rPr>
              <w:t>Remise maximale (en %</w:t>
            </w:r>
            <w:r w:rsidRPr="00402EFE">
              <w:t xml:space="preserve"> </w:t>
            </w:r>
            <w:r w:rsidRPr="00402EFE">
              <w:rPr>
                <w:rFonts w:eastAsia="Times New Roman" w:cs="Arial"/>
                <w:u w:val="single"/>
                <w:lang w:eastAsia="fr-FR"/>
              </w:rPr>
              <w:t>des sommes restant dues au titre des cotisations et contributions sociales patronales des périodes d'activité courant du 1er février 2020 au 31 mai 2020)</w:t>
            </w:r>
          </w:p>
        </w:tc>
      </w:tr>
      <w:tr w:rsidR="00402EFE" w:rsidRPr="00402EFE" w14:paraId="3B853722" w14:textId="77777777" w:rsidTr="00864CE6">
        <w:tc>
          <w:tcPr>
            <w:tcW w:w="2547" w:type="dxa"/>
            <w:vAlign w:val="center"/>
          </w:tcPr>
          <w:p w14:paraId="430CE580" w14:textId="159E5A4C" w:rsidR="00864CE6" w:rsidRPr="00402EFE" w:rsidRDefault="00864CE6" w:rsidP="00864CE6">
            <w:pPr>
              <w:spacing w:before="0" w:after="240"/>
              <w:jc w:val="center"/>
              <w:rPr>
                <w:rFonts w:eastAsia="Times New Roman" w:cs="Arial"/>
                <w:u w:val="single"/>
                <w:lang w:eastAsia="fr-FR"/>
              </w:rPr>
            </w:pPr>
            <w:r w:rsidRPr="00402EFE">
              <w:rPr>
                <w:rFonts w:eastAsia="Times New Roman" w:cs="Arial"/>
                <w:u w:val="single"/>
                <w:lang w:eastAsia="fr-FR"/>
              </w:rPr>
              <w:t>≥ 50 % et &lt; 60%</w:t>
            </w:r>
          </w:p>
        </w:tc>
        <w:tc>
          <w:tcPr>
            <w:tcW w:w="6515" w:type="dxa"/>
            <w:vAlign w:val="center"/>
          </w:tcPr>
          <w:p w14:paraId="60CD355E" w14:textId="06C744B6" w:rsidR="00864CE6" w:rsidRPr="00402EFE" w:rsidRDefault="00864CE6" w:rsidP="00864CE6">
            <w:pPr>
              <w:spacing w:before="0" w:after="240"/>
              <w:jc w:val="center"/>
              <w:rPr>
                <w:rFonts w:eastAsia="Times New Roman" w:cs="Arial"/>
                <w:u w:val="single"/>
                <w:lang w:eastAsia="fr-FR"/>
              </w:rPr>
            </w:pPr>
            <w:r w:rsidRPr="00402EFE">
              <w:rPr>
                <w:rFonts w:eastAsia="Times New Roman" w:cs="Arial"/>
                <w:u w:val="single"/>
                <w:lang w:eastAsia="fr-FR"/>
              </w:rPr>
              <w:t>20 %</w:t>
            </w:r>
          </w:p>
        </w:tc>
      </w:tr>
      <w:tr w:rsidR="00402EFE" w:rsidRPr="00402EFE" w14:paraId="5905892B" w14:textId="77777777" w:rsidTr="00864CE6">
        <w:tc>
          <w:tcPr>
            <w:tcW w:w="2547" w:type="dxa"/>
            <w:vAlign w:val="center"/>
          </w:tcPr>
          <w:p w14:paraId="00A0E0FB" w14:textId="5211662A" w:rsidR="00864CE6" w:rsidRPr="00402EFE" w:rsidRDefault="00864CE6" w:rsidP="00864CE6">
            <w:pPr>
              <w:spacing w:before="0" w:after="240"/>
              <w:jc w:val="center"/>
              <w:rPr>
                <w:rFonts w:eastAsia="Times New Roman" w:cs="Arial"/>
                <w:u w:val="single"/>
                <w:lang w:eastAsia="fr-FR"/>
              </w:rPr>
            </w:pPr>
            <w:r w:rsidRPr="00402EFE">
              <w:rPr>
                <w:rFonts w:eastAsia="Times New Roman" w:cs="Arial"/>
                <w:u w:val="single"/>
                <w:lang w:eastAsia="fr-FR"/>
              </w:rPr>
              <w:t>≥ 60 % et &lt; 70%</w:t>
            </w:r>
          </w:p>
        </w:tc>
        <w:tc>
          <w:tcPr>
            <w:tcW w:w="6515" w:type="dxa"/>
            <w:vAlign w:val="center"/>
          </w:tcPr>
          <w:p w14:paraId="36E3B78E" w14:textId="238AA320" w:rsidR="00864CE6" w:rsidRPr="00402EFE" w:rsidRDefault="00864CE6" w:rsidP="00864CE6">
            <w:pPr>
              <w:spacing w:before="0" w:after="240"/>
              <w:jc w:val="center"/>
              <w:rPr>
                <w:rFonts w:eastAsia="Times New Roman" w:cs="Arial"/>
                <w:u w:val="single"/>
                <w:lang w:eastAsia="fr-FR"/>
              </w:rPr>
            </w:pPr>
            <w:r w:rsidRPr="00402EFE">
              <w:rPr>
                <w:rFonts w:eastAsia="Times New Roman" w:cs="Arial"/>
                <w:u w:val="single"/>
                <w:lang w:eastAsia="fr-FR"/>
              </w:rPr>
              <w:t>30 %</w:t>
            </w:r>
          </w:p>
        </w:tc>
      </w:tr>
      <w:tr w:rsidR="00402EFE" w:rsidRPr="00402EFE" w14:paraId="17CE36E4" w14:textId="77777777" w:rsidTr="00864CE6">
        <w:tc>
          <w:tcPr>
            <w:tcW w:w="2547" w:type="dxa"/>
            <w:vAlign w:val="center"/>
          </w:tcPr>
          <w:p w14:paraId="446C1FF8" w14:textId="478D2B30" w:rsidR="00864CE6" w:rsidRPr="00402EFE" w:rsidRDefault="00864CE6" w:rsidP="00864CE6">
            <w:pPr>
              <w:spacing w:before="0" w:after="240"/>
              <w:jc w:val="center"/>
              <w:rPr>
                <w:rFonts w:eastAsia="Times New Roman" w:cs="Arial"/>
                <w:u w:val="single"/>
                <w:lang w:eastAsia="fr-FR"/>
              </w:rPr>
            </w:pPr>
            <w:r w:rsidRPr="00402EFE">
              <w:rPr>
                <w:rFonts w:eastAsia="Times New Roman" w:cs="Arial"/>
                <w:u w:val="single"/>
                <w:lang w:eastAsia="fr-FR"/>
              </w:rPr>
              <w:t>≥ 70 % et &lt; 80%</w:t>
            </w:r>
          </w:p>
        </w:tc>
        <w:tc>
          <w:tcPr>
            <w:tcW w:w="6515" w:type="dxa"/>
            <w:vAlign w:val="center"/>
          </w:tcPr>
          <w:p w14:paraId="031355C6" w14:textId="462E0484" w:rsidR="00864CE6" w:rsidRPr="00402EFE" w:rsidRDefault="00864CE6" w:rsidP="00864CE6">
            <w:pPr>
              <w:spacing w:before="0" w:after="240"/>
              <w:jc w:val="center"/>
              <w:rPr>
                <w:rFonts w:eastAsia="Times New Roman" w:cs="Arial"/>
                <w:u w:val="single"/>
                <w:lang w:eastAsia="fr-FR"/>
              </w:rPr>
            </w:pPr>
            <w:r w:rsidRPr="00402EFE">
              <w:rPr>
                <w:rFonts w:eastAsia="Times New Roman" w:cs="Arial"/>
                <w:u w:val="single"/>
                <w:lang w:eastAsia="fr-FR"/>
              </w:rPr>
              <w:t>40 %</w:t>
            </w:r>
          </w:p>
        </w:tc>
      </w:tr>
      <w:tr w:rsidR="00402EFE" w:rsidRPr="00402EFE" w14:paraId="45D46C2D" w14:textId="77777777" w:rsidTr="00864CE6">
        <w:tc>
          <w:tcPr>
            <w:tcW w:w="2547" w:type="dxa"/>
            <w:vAlign w:val="center"/>
          </w:tcPr>
          <w:p w14:paraId="5D1C97E1" w14:textId="72FEDB8D" w:rsidR="00864CE6" w:rsidRPr="00402EFE" w:rsidRDefault="00864CE6" w:rsidP="00864CE6">
            <w:pPr>
              <w:spacing w:before="0" w:after="240"/>
              <w:jc w:val="center"/>
              <w:rPr>
                <w:rFonts w:eastAsia="Times New Roman" w:cs="Arial"/>
                <w:u w:val="single"/>
                <w:lang w:eastAsia="fr-FR"/>
              </w:rPr>
            </w:pPr>
            <w:r w:rsidRPr="00402EFE">
              <w:rPr>
                <w:rFonts w:eastAsia="Times New Roman" w:cs="Arial"/>
                <w:u w:val="single"/>
                <w:lang w:eastAsia="fr-FR"/>
              </w:rPr>
              <w:t>≥ 80%</w:t>
            </w:r>
          </w:p>
        </w:tc>
        <w:tc>
          <w:tcPr>
            <w:tcW w:w="6515" w:type="dxa"/>
            <w:vAlign w:val="center"/>
          </w:tcPr>
          <w:p w14:paraId="2CFB756C" w14:textId="461AA20A" w:rsidR="00864CE6" w:rsidRPr="00402EFE" w:rsidRDefault="00864CE6" w:rsidP="00864CE6">
            <w:pPr>
              <w:spacing w:before="0" w:after="240"/>
              <w:jc w:val="center"/>
              <w:rPr>
                <w:rFonts w:eastAsia="Times New Roman" w:cs="Arial"/>
                <w:u w:val="single"/>
                <w:lang w:eastAsia="fr-FR"/>
              </w:rPr>
            </w:pPr>
            <w:r w:rsidRPr="00402EFE">
              <w:rPr>
                <w:rFonts w:eastAsia="Times New Roman" w:cs="Arial"/>
                <w:u w:val="single"/>
                <w:lang w:eastAsia="fr-FR"/>
              </w:rPr>
              <w:t>50 %</w:t>
            </w:r>
          </w:p>
        </w:tc>
      </w:tr>
    </w:tbl>
    <w:p w14:paraId="57AC60F3" w14:textId="331770B8" w:rsidR="0051571F" w:rsidRPr="00402EFE" w:rsidRDefault="0051571F" w:rsidP="0051571F">
      <w:pPr>
        <w:shd w:val="clear" w:color="auto" w:fill="FFFFFF"/>
        <w:spacing w:before="0" w:after="240" w:line="240" w:lineRule="auto"/>
        <w:jc w:val="left"/>
        <w:rPr>
          <w:rFonts w:eastAsia="Times New Roman" w:cs="Arial"/>
          <w:u w:val="single"/>
          <w:lang w:eastAsia="fr-FR"/>
        </w:rPr>
      </w:pPr>
      <w:r w:rsidRPr="00402EFE">
        <w:rPr>
          <w:rFonts w:ascii="Arial" w:eastAsia="Times New Roman" w:hAnsi="Arial" w:cs="Arial"/>
          <w:sz w:val="21"/>
          <w:szCs w:val="21"/>
          <w:lang w:eastAsia="fr-FR"/>
        </w:rPr>
        <w:br/>
      </w:r>
      <w:r w:rsidRPr="00402EFE">
        <w:rPr>
          <w:rFonts w:eastAsia="Times New Roman" w:cs="Arial"/>
          <w:u w:val="single"/>
          <w:lang w:eastAsia="fr-FR"/>
        </w:rPr>
        <w:t>Pour les travailleurs indépendants :</w:t>
      </w:r>
    </w:p>
    <w:tbl>
      <w:tblPr>
        <w:tblStyle w:val="Grilledutableau"/>
        <w:tblW w:w="0" w:type="auto"/>
        <w:tblLook w:val="04A0" w:firstRow="1" w:lastRow="0" w:firstColumn="1" w:lastColumn="0" w:noHBand="0" w:noVBand="1"/>
      </w:tblPr>
      <w:tblGrid>
        <w:gridCol w:w="2547"/>
        <w:gridCol w:w="6515"/>
      </w:tblGrid>
      <w:tr w:rsidR="00402EFE" w:rsidRPr="00402EFE" w14:paraId="0E142A8C" w14:textId="77777777" w:rsidTr="006823CC">
        <w:tc>
          <w:tcPr>
            <w:tcW w:w="2547" w:type="dxa"/>
            <w:vAlign w:val="center"/>
          </w:tcPr>
          <w:p w14:paraId="038F5C15" w14:textId="77777777" w:rsidR="00864CE6" w:rsidRPr="00402EFE" w:rsidRDefault="00864CE6" w:rsidP="006823CC">
            <w:pPr>
              <w:spacing w:before="0" w:after="240"/>
              <w:jc w:val="center"/>
              <w:rPr>
                <w:rFonts w:eastAsia="Times New Roman" w:cs="Arial"/>
                <w:u w:val="single"/>
                <w:lang w:eastAsia="fr-FR"/>
              </w:rPr>
            </w:pPr>
            <w:r w:rsidRPr="00402EFE">
              <w:rPr>
                <w:rFonts w:eastAsia="Times New Roman" w:cs="Arial"/>
                <w:u w:val="single"/>
                <w:lang w:eastAsia="fr-FR"/>
              </w:rPr>
              <w:t>Baisse de CA</w:t>
            </w:r>
          </w:p>
        </w:tc>
        <w:tc>
          <w:tcPr>
            <w:tcW w:w="6515" w:type="dxa"/>
            <w:vAlign w:val="center"/>
          </w:tcPr>
          <w:p w14:paraId="2DCC34D9" w14:textId="47EBD8C2" w:rsidR="00864CE6" w:rsidRPr="00402EFE" w:rsidRDefault="00DA3AA7" w:rsidP="006823CC">
            <w:pPr>
              <w:spacing w:before="0" w:after="240"/>
              <w:jc w:val="center"/>
              <w:rPr>
                <w:rFonts w:eastAsia="Times New Roman" w:cs="Arial"/>
                <w:u w:val="single"/>
                <w:lang w:eastAsia="fr-FR"/>
              </w:rPr>
            </w:pPr>
            <w:r w:rsidRPr="00402EFE">
              <w:rPr>
                <w:rFonts w:eastAsia="Times New Roman" w:cs="Arial"/>
                <w:u w:val="single"/>
                <w:lang w:eastAsia="fr-FR"/>
              </w:rPr>
              <w:t>Montant maximal de la remise</w:t>
            </w:r>
          </w:p>
        </w:tc>
      </w:tr>
      <w:tr w:rsidR="00402EFE" w:rsidRPr="00402EFE" w14:paraId="4E7007AB" w14:textId="77777777" w:rsidTr="006823CC">
        <w:tc>
          <w:tcPr>
            <w:tcW w:w="2547" w:type="dxa"/>
            <w:vAlign w:val="center"/>
          </w:tcPr>
          <w:p w14:paraId="36B0FBCD" w14:textId="77777777" w:rsidR="00864CE6" w:rsidRPr="00402EFE" w:rsidRDefault="00864CE6" w:rsidP="006823CC">
            <w:pPr>
              <w:spacing w:before="0" w:after="240"/>
              <w:jc w:val="center"/>
              <w:rPr>
                <w:rFonts w:eastAsia="Times New Roman" w:cs="Arial"/>
                <w:u w:val="single"/>
                <w:lang w:eastAsia="fr-FR"/>
              </w:rPr>
            </w:pPr>
            <w:r w:rsidRPr="00402EFE">
              <w:rPr>
                <w:rFonts w:eastAsia="Times New Roman" w:cs="Arial"/>
                <w:u w:val="single"/>
                <w:lang w:eastAsia="fr-FR"/>
              </w:rPr>
              <w:t>≥ 50 % et &lt; 60%</w:t>
            </w:r>
          </w:p>
        </w:tc>
        <w:tc>
          <w:tcPr>
            <w:tcW w:w="6515" w:type="dxa"/>
            <w:vAlign w:val="center"/>
          </w:tcPr>
          <w:p w14:paraId="3EB8B121" w14:textId="4972C0C9" w:rsidR="00864CE6" w:rsidRPr="00402EFE" w:rsidRDefault="00DA3AA7" w:rsidP="006823CC">
            <w:pPr>
              <w:spacing w:before="0" w:after="240"/>
              <w:jc w:val="center"/>
              <w:rPr>
                <w:rFonts w:eastAsia="Times New Roman" w:cs="Arial"/>
                <w:u w:val="single"/>
                <w:lang w:eastAsia="fr-FR"/>
              </w:rPr>
            </w:pPr>
            <w:r w:rsidRPr="00402EFE">
              <w:rPr>
                <w:rFonts w:eastAsia="Times New Roman" w:cs="Arial"/>
                <w:u w:val="single"/>
                <w:lang w:eastAsia="fr-FR"/>
              </w:rPr>
              <w:t>300</w:t>
            </w:r>
            <w:r w:rsidR="00864CE6" w:rsidRPr="00402EFE">
              <w:rPr>
                <w:rFonts w:eastAsia="Times New Roman" w:cs="Arial"/>
                <w:u w:val="single"/>
                <w:lang w:eastAsia="fr-FR"/>
              </w:rPr>
              <w:t xml:space="preserve"> </w:t>
            </w:r>
            <w:r w:rsidRPr="00402EFE">
              <w:rPr>
                <w:rFonts w:eastAsia="Times New Roman" w:cs="Arial"/>
                <w:u w:val="single"/>
                <w:lang w:eastAsia="fr-FR"/>
              </w:rPr>
              <w:t>€</w:t>
            </w:r>
          </w:p>
        </w:tc>
      </w:tr>
      <w:tr w:rsidR="00402EFE" w:rsidRPr="00402EFE" w14:paraId="653B994E" w14:textId="77777777" w:rsidTr="006823CC">
        <w:tc>
          <w:tcPr>
            <w:tcW w:w="2547" w:type="dxa"/>
            <w:vAlign w:val="center"/>
          </w:tcPr>
          <w:p w14:paraId="3AE30C4E" w14:textId="77777777" w:rsidR="00864CE6" w:rsidRPr="00402EFE" w:rsidRDefault="00864CE6" w:rsidP="006823CC">
            <w:pPr>
              <w:spacing w:before="0" w:after="240"/>
              <w:jc w:val="center"/>
              <w:rPr>
                <w:rFonts w:eastAsia="Times New Roman" w:cs="Arial"/>
                <w:u w:val="single"/>
                <w:lang w:eastAsia="fr-FR"/>
              </w:rPr>
            </w:pPr>
            <w:r w:rsidRPr="00402EFE">
              <w:rPr>
                <w:rFonts w:eastAsia="Times New Roman" w:cs="Arial"/>
                <w:u w:val="single"/>
                <w:lang w:eastAsia="fr-FR"/>
              </w:rPr>
              <w:t>≥ 60 % et &lt; 70%</w:t>
            </w:r>
          </w:p>
        </w:tc>
        <w:tc>
          <w:tcPr>
            <w:tcW w:w="6515" w:type="dxa"/>
            <w:vAlign w:val="center"/>
          </w:tcPr>
          <w:p w14:paraId="335BD65E" w14:textId="1A13440E" w:rsidR="00864CE6" w:rsidRPr="00402EFE" w:rsidRDefault="00DA3AA7" w:rsidP="006823CC">
            <w:pPr>
              <w:spacing w:before="0" w:after="240"/>
              <w:jc w:val="center"/>
              <w:rPr>
                <w:rFonts w:eastAsia="Times New Roman" w:cs="Arial"/>
                <w:u w:val="single"/>
                <w:lang w:eastAsia="fr-FR"/>
              </w:rPr>
            </w:pPr>
            <w:r w:rsidRPr="00402EFE">
              <w:rPr>
                <w:rFonts w:eastAsia="Times New Roman" w:cs="Arial"/>
                <w:u w:val="single"/>
                <w:lang w:eastAsia="fr-FR"/>
              </w:rPr>
              <w:t>500 €</w:t>
            </w:r>
          </w:p>
        </w:tc>
      </w:tr>
      <w:tr w:rsidR="00402EFE" w:rsidRPr="00402EFE" w14:paraId="2585D194" w14:textId="77777777" w:rsidTr="006823CC">
        <w:tc>
          <w:tcPr>
            <w:tcW w:w="2547" w:type="dxa"/>
            <w:vAlign w:val="center"/>
          </w:tcPr>
          <w:p w14:paraId="3A753847" w14:textId="77777777" w:rsidR="00864CE6" w:rsidRPr="00402EFE" w:rsidRDefault="00864CE6" w:rsidP="006823CC">
            <w:pPr>
              <w:spacing w:before="0" w:after="240"/>
              <w:jc w:val="center"/>
              <w:rPr>
                <w:rFonts w:eastAsia="Times New Roman" w:cs="Arial"/>
                <w:u w:val="single"/>
                <w:lang w:eastAsia="fr-FR"/>
              </w:rPr>
            </w:pPr>
            <w:r w:rsidRPr="00402EFE">
              <w:rPr>
                <w:rFonts w:eastAsia="Times New Roman" w:cs="Arial"/>
                <w:u w:val="single"/>
                <w:lang w:eastAsia="fr-FR"/>
              </w:rPr>
              <w:lastRenderedPageBreak/>
              <w:t>≥ 70 % et &lt; 80%</w:t>
            </w:r>
          </w:p>
        </w:tc>
        <w:tc>
          <w:tcPr>
            <w:tcW w:w="6515" w:type="dxa"/>
            <w:vAlign w:val="center"/>
          </w:tcPr>
          <w:p w14:paraId="3DFCC7B2" w14:textId="16802A29" w:rsidR="00864CE6" w:rsidRPr="00402EFE" w:rsidRDefault="00DA3AA7" w:rsidP="006823CC">
            <w:pPr>
              <w:spacing w:before="0" w:after="240"/>
              <w:jc w:val="center"/>
              <w:rPr>
                <w:rFonts w:eastAsia="Times New Roman" w:cs="Arial"/>
                <w:u w:val="single"/>
                <w:lang w:eastAsia="fr-FR"/>
              </w:rPr>
            </w:pPr>
            <w:r w:rsidRPr="00402EFE">
              <w:rPr>
                <w:rFonts w:eastAsia="Times New Roman" w:cs="Arial"/>
                <w:u w:val="single"/>
                <w:lang w:eastAsia="fr-FR"/>
              </w:rPr>
              <w:t>700 €</w:t>
            </w:r>
          </w:p>
        </w:tc>
      </w:tr>
      <w:tr w:rsidR="00D818EE" w:rsidRPr="00402EFE" w14:paraId="5A166B52" w14:textId="77777777" w:rsidTr="006823CC">
        <w:tc>
          <w:tcPr>
            <w:tcW w:w="2547" w:type="dxa"/>
            <w:vAlign w:val="center"/>
          </w:tcPr>
          <w:p w14:paraId="19C5F369" w14:textId="77777777" w:rsidR="00864CE6" w:rsidRPr="00402EFE" w:rsidRDefault="00864CE6" w:rsidP="006823CC">
            <w:pPr>
              <w:spacing w:before="0" w:after="240"/>
              <w:jc w:val="center"/>
              <w:rPr>
                <w:rFonts w:eastAsia="Times New Roman" w:cs="Arial"/>
                <w:u w:val="single"/>
                <w:lang w:eastAsia="fr-FR"/>
              </w:rPr>
            </w:pPr>
            <w:r w:rsidRPr="00402EFE">
              <w:rPr>
                <w:rFonts w:eastAsia="Times New Roman" w:cs="Arial"/>
                <w:u w:val="single"/>
                <w:lang w:eastAsia="fr-FR"/>
              </w:rPr>
              <w:t>≥ 80%</w:t>
            </w:r>
          </w:p>
        </w:tc>
        <w:tc>
          <w:tcPr>
            <w:tcW w:w="6515" w:type="dxa"/>
            <w:vAlign w:val="center"/>
          </w:tcPr>
          <w:p w14:paraId="5A17B20C" w14:textId="666C4E24" w:rsidR="00864CE6" w:rsidRPr="00402EFE" w:rsidRDefault="00DA3AA7" w:rsidP="006823CC">
            <w:pPr>
              <w:spacing w:before="0" w:after="240"/>
              <w:jc w:val="center"/>
              <w:rPr>
                <w:rFonts w:eastAsia="Times New Roman" w:cs="Arial"/>
                <w:u w:val="single"/>
                <w:lang w:eastAsia="fr-FR"/>
              </w:rPr>
            </w:pPr>
            <w:r w:rsidRPr="00402EFE">
              <w:rPr>
                <w:rFonts w:eastAsia="Times New Roman" w:cs="Arial"/>
                <w:u w:val="single"/>
                <w:lang w:eastAsia="fr-FR"/>
              </w:rPr>
              <w:t>900 €</w:t>
            </w:r>
          </w:p>
        </w:tc>
      </w:tr>
    </w:tbl>
    <w:p w14:paraId="74569451" w14:textId="77777777" w:rsidR="0051571F" w:rsidRPr="00402EFE" w:rsidRDefault="0051571F" w:rsidP="0051571F">
      <w:pPr>
        <w:spacing w:before="0" w:after="160"/>
      </w:pPr>
    </w:p>
    <w:sectPr w:rsidR="0051571F" w:rsidRPr="00402EFE" w:rsidSect="00683500">
      <w:footerReference w:type="default" r:id="rId2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88E0" w14:textId="77777777" w:rsidR="009116F2" w:rsidRDefault="009116F2" w:rsidP="00CA6A76">
      <w:pPr>
        <w:spacing w:after="0" w:line="240" w:lineRule="auto"/>
      </w:pPr>
      <w:r>
        <w:separator/>
      </w:r>
    </w:p>
  </w:endnote>
  <w:endnote w:type="continuationSeparator" w:id="0">
    <w:p w14:paraId="5643088E" w14:textId="77777777" w:rsidR="009116F2" w:rsidRDefault="009116F2"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65 Medium">
    <w:panose1 w:val="020B0803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491B" w14:textId="77777777" w:rsidR="00E70473" w:rsidRDefault="00E70473" w:rsidP="00076F5D">
    <w:pPr>
      <w:spacing w:line="240" w:lineRule="auto"/>
      <w:rPr>
        <w:sz w:val="20"/>
        <w:szCs w:val="20"/>
      </w:rPr>
    </w:pPr>
  </w:p>
  <w:p w14:paraId="39BAC8C7" w14:textId="75BB2293" w:rsidR="00076F5D" w:rsidRPr="007C3831" w:rsidRDefault="001901F1" w:rsidP="00076F5D">
    <w:pPr>
      <w:spacing w:line="240" w:lineRule="auto"/>
      <w:rPr>
        <w:rFonts w:cs="Arial"/>
        <w:color w:val="000000" w:themeColor="text1"/>
        <w:sz w:val="20"/>
        <w:szCs w:val="20"/>
      </w:rPr>
    </w:pPr>
    <w:r>
      <w:rPr>
        <w:sz w:val="20"/>
        <w:szCs w:val="20"/>
      </w:rPr>
      <w:t>Direction des affaires sociales et de la formation</w:t>
    </w:r>
    <w:r w:rsidR="00076F5D">
      <w:rPr>
        <w:rFonts w:cs="Arial"/>
        <w:color w:val="000000" w:themeColor="text1"/>
        <w:sz w:val="20"/>
        <w:szCs w:val="20"/>
      </w:rPr>
      <w:tab/>
    </w:r>
    <w:r w:rsidR="00076F5D">
      <w:rPr>
        <w:rFonts w:cs="Arial"/>
        <w:color w:val="000000" w:themeColor="text1"/>
        <w:sz w:val="20"/>
        <w:szCs w:val="20"/>
      </w:rPr>
      <w:tab/>
    </w:r>
    <w:r w:rsidR="00076F5D">
      <w:rPr>
        <w:rFonts w:cs="Arial"/>
        <w:color w:val="000000" w:themeColor="text1"/>
        <w:sz w:val="20"/>
        <w:szCs w:val="20"/>
      </w:rPr>
      <w:tab/>
    </w:r>
    <w:r w:rsidR="00076F5D">
      <w:rPr>
        <w:rFonts w:cs="Arial"/>
        <w:color w:val="000000" w:themeColor="text1"/>
        <w:sz w:val="20"/>
        <w:szCs w:val="20"/>
      </w:rPr>
      <w:tab/>
    </w:r>
    <w:r w:rsidR="00D06CF7">
      <w:rPr>
        <w:rFonts w:cs="Arial"/>
        <w:color w:val="000000" w:themeColor="text1"/>
        <w:sz w:val="20"/>
        <w:szCs w:val="20"/>
      </w:rPr>
      <w:tab/>
    </w:r>
    <w:r w:rsidR="00076F5D" w:rsidRPr="007C3831">
      <w:rPr>
        <w:rFonts w:cs="Arial"/>
        <w:color w:val="000000" w:themeColor="text1"/>
        <w:sz w:val="20"/>
        <w:szCs w:val="20"/>
      </w:rPr>
      <w:t xml:space="preserve">Page | </w:t>
    </w:r>
    <w:r w:rsidR="00076F5D" w:rsidRPr="007C3831">
      <w:rPr>
        <w:rFonts w:cs="Arial"/>
        <w:color w:val="000000" w:themeColor="text1"/>
        <w:sz w:val="20"/>
        <w:szCs w:val="20"/>
      </w:rPr>
      <w:fldChar w:fldCharType="begin"/>
    </w:r>
    <w:r w:rsidR="00076F5D" w:rsidRPr="007C3831">
      <w:rPr>
        <w:rFonts w:cs="Arial"/>
        <w:color w:val="000000" w:themeColor="text1"/>
        <w:sz w:val="20"/>
        <w:szCs w:val="20"/>
      </w:rPr>
      <w:instrText>PAGE   \* MERGEFORMAT</w:instrText>
    </w:r>
    <w:r w:rsidR="00076F5D" w:rsidRPr="007C3831">
      <w:rPr>
        <w:rFonts w:cs="Arial"/>
        <w:color w:val="000000" w:themeColor="text1"/>
        <w:sz w:val="20"/>
        <w:szCs w:val="20"/>
      </w:rPr>
      <w:fldChar w:fldCharType="separate"/>
    </w:r>
    <w:r w:rsidR="00076F5D">
      <w:rPr>
        <w:rFonts w:cs="Arial"/>
        <w:noProof/>
        <w:color w:val="000000" w:themeColor="text1"/>
        <w:sz w:val="20"/>
        <w:szCs w:val="20"/>
      </w:rPr>
      <w:t>1</w:t>
    </w:r>
    <w:r w:rsidR="00076F5D" w:rsidRPr="007C3831">
      <w:rPr>
        <w:rFonts w:cs="Arial"/>
        <w:color w:val="000000" w:themeColor="text1"/>
        <w:sz w:val="20"/>
        <w:szCs w:val="20"/>
      </w:rPr>
      <w:fldChar w:fldCharType="end"/>
    </w:r>
  </w:p>
  <w:p w14:paraId="4DB54200" w14:textId="77777777" w:rsidR="00CA6A76" w:rsidRPr="00133128" w:rsidRDefault="00CA6A76" w:rsidP="001331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473B" w14:textId="77777777" w:rsidR="009116F2" w:rsidRDefault="009116F2" w:rsidP="00CA6A76">
      <w:pPr>
        <w:spacing w:after="0" w:line="240" w:lineRule="auto"/>
      </w:pPr>
      <w:r>
        <w:separator/>
      </w:r>
    </w:p>
  </w:footnote>
  <w:footnote w:type="continuationSeparator" w:id="0">
    <w:p w14:paraId="68B6FDEE" w14:textId="77777777" w:rsidR="009116F2" w:rsidRDefault="009116F2" w:rsidP="00CA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749"/>
    <w:multiLevelType w:val="hybridMultilevel"/>
    <w:tmpl w:val="75E0B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F257D5"/>
    <w:multiLevelType w:val="hybridMultilevel"/>
    <w:tmpl w:val="B36CA52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68B3BC4"/>
    <w:multiLevelType w:val="hybridMultilevel"/>
    <w:tmpl w:val="31CCBEFA"/>
    <w:lvl w:ilvl="0" w:tplc="A0BA82E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63116"/>
    <w:multiLevelType w:val="hybridMultilevel"/>
    <w:tmpl w:val="7792B004"/>
    <w:lvl w:ilvl="0" w:tplc="2E4A4626">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62B78"/>
    <w:multiLevelType w:val="hybridMultilevel"/>
    <w:tmpl w:val="870E9B3C"/>
    <w:lvl w:ilvl="0" w:tplc="B128D7D2">
      <w:numFmt w:val="bullet"/>
      <w:lvlText w:val="-"/>
      <w:lvlJc w:val="left"/>
      <w:pPr>
        <w:ind w:left="780" w:hanging="360"/>
      </w:pPr>
      <w:rPr>
        <w:rFonts w:ascii="Calibri" w:eastAsia="Calibr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A6009B0"/>
    <w:multiLevelType w:val="hybridMultilevel"/>
    <w:tmpl w:val="3CC23990"/>
    <w:lvl w:ilvl="0" w:tplc="9E36EF04">
      <w:start w:val="1"/>
      <w:numFmt w:val="lowerLetter"/>
      <w:lvlText w:val="%1)"/>
      <w:lvlJc w:val="left"/>
      <w:pPr>
        <w:ind w:left="1440" w:hanging="360"/>
      </w:pPr>
      <w:rPr>
        <w:rFonts w:ascii="Avenir LT Std 35 Light" w:eastAsia="Times New Roman" w:hAnsi="Avenir LT Std 35 Light" w:cstheme="minorBidi"/>
        <w:color w:val="auto"/>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FE13F65"/>
    <w:multiLevelType w:val="hybridMultilevel"/>
    <w:tmpl w:val="90604034"/>
    <w:lvl w:ilvl="0" w:tplc="ABF67F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A412B4"/>
    <w:multiLevelType w:val="hybridMultilevel"/>
    <w:tmpl w:val="3348CE72"/>
    <w:lvl w:ilvl="0" w:tplc="7F5A1C90">
      <w:start w:val="572"/>
      <w:numFmt w:val="bullet"/>
      <w:lvlText w:val=""/>
      <w:lvlJc w:val="left"/>
      <w:pPr>
        <w:ind w:left="1068" w:hanging="360"/>
      </w:pPr>
      <w:rPr>
        <w:rFonts w:ascii="Symbol" w:eastAsiaTheme="minorHAnsi" w:hAnsi="Symbol"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ED61025"/>
    <w:multiLevelType w:val="hybridMultilevel"/>
    <w:tmpl w:val="9BB63A1A"/>
    <w:lvl w:ilvl="0" w:tplc="9A96EC7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344138"/>
    <w:multiLevelType w:val="hybridMultilevel"/>
    <w:tmpl w:val="813A1EA8"/>
    <w:lvl w:ilvl="0" w:tplc="FB882382">
      <w:numFmt w:val="bullet"/>
      <w:lvlText w:val="-"/>
      <w:lvlJc w:val="left"/>
      <w:pPr>
        <w:ind w:left="720" w:hanging="360"/>
      </w:pPr>
      <w:rPr>
        <w:rFonts w:ascii="Avenir LT Std 35 Light" w:eastAsiaTheme="minorHAnsi" w:hAnsi="Avenir LT Std 35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941B3D"/>
    <w:multiLevelType w:val="hybridMultilevel"/>
    <w:tmpl w:val="3F7AA29A"/>
    <w:lvl w:ilvl="0" w:tplc="ABF67F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D950CB"/>
    <w:multiLevelType w:val="hybridMultilevel"/>
    <w:tmpl w:val="AA889548"/>
    <w:lvl w:ilvl="0" w:tplc="A0BA82E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891611"/>
    <w:multiLevelType w:val="hybridMultilevel"/>
    <w:tmpl w:val="66BA60D0"/>
    <w:lvl w:ilvl="0" w:tplc="A0BA82E0">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484A1513"/>
    <w:multiLevelType w:val="hybridMultilevel"/>
    <w:tmpl w:val="5EC06370"/>
    <w:lvl w:ilvl="0" w:tplc="B128D7D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B30A27"/>
    <w:multiLevelType w:val="hybridMultilevel"/>
    <w:tmpl w:val="58124208"/>
    <w:lvl w:ilvl="0" w:tplc="ABF67F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9A5989"/>
    <w:multiLevelType w:val="hybridMultilevel"/>
    <w:tmpl w:val="38767C44"/>
    <w:lvl w:ilvl="0" w:tplc="A0BA82E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D056D3"/>
    <w:multiLevelType w:val="hybridMultilevel"/>
    <w:tmpl w:val="5DC24C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B63BB3"/>
    <w:multiLevelType w:val="hybridMultilevel"/>
    <w:tmpl w:val="EC228DF0"/>
    <w:lvl w:ilvl="0" w:tplc="B128D7D2">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8" w15:restartNumberingAfterBreak="0">
    <w:nsid w:val="6E515A33"/>
    <w:multiLevelType w:val="hybridMultilevel"/>
    <w:tmpl w:val="5AA879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8275B8"/>
    <w:multiLevelType w:val="hybridMultilevel"/>
    <w:tmpl w:val="D3C23C00"/>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24741E"/>
    <w:multiLevelType w:val="hybridMultilevel"/>
    <w:tmpl w:val="F9AE219A"/>
    <w:lvl w:ilvl="0" w:tplc="A0BA82E0">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7D8522C5"/>
    <w:multiLevelType w:val="hybridMultilevel"/>
    <w:tmpl w:val="4AF06F54"/>
    <w:lvl w:ilvl="0" w:tplc="A0BA82E0">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7"/>
  </w:num>
  <w:num w:numId="3">
    <w:abstractNumId w:val="9"/>
  </w:num>
  <w:num w:numId="4">
    <w:abstractNumId w:val="8"/>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2"/>
  </w:num>
  <w:num w:numId="10">
    <w:abstractNumId w:val="13"/>
  </w:num>
  <w:num w:numId="11">
    <w:abstractNumId w:val="4"/>
  </w:num>
  <w:num w:numId="12">
    <w:abstractNumId w:val="1"/>
  </w:num>
  <w:num w:numId="13">
    <w:abstractNumId w:val="5"/>
  </w:num>
  <w:num w:numId="14">
    <w:abstractNumId w:val="18"/>
  </w:num>
  <w:num w:numId="15">
    <w:abstractNumId w:val="20"/>
  </w:num>
  <w:num w:numId="16">
    <w:abstractNumId w:val="11"/>
  </w:num>
  <w:num w:numId="17">
    <w:abstractNumId w:val="15"/>
  </w:num>
  <w:num w:numId="18">
    <w:abstractNumId w:val="21"/>
  </w:num>
  <w:num w:numId="19">
    <w:abstractNumId w:val="12"/>
  </w:num>
  <w:num w:numId="20">
    <w:abstractNumId w:val="19"/>
  </w:num>
  <w:num w:numId="21">
    <w:abstractNumId w:val="6"/>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2310E"/>
    <w:rsid w:val="00036A3C"/>
    <w:rsid w:val="000570C9"/>
    <w:rsid w:val="00061B68"/>
    <w:rsid w:val="000649FD"/>
    <w:rsid w:val="00067B60"/>
    <w:rsid w:val="00076F5D"/>
    <w:rsid w:val="00082F2A"/>
    <w:rsid w:val="000834F1"/>
    <w:rsid w:val="000858B0"/>
    <w:rsid w:val="000A637C"/>
    <w:rsid w:val="000E29BA"/>
    <w:rsid w:val="000E7DE4"/>
    <w:rsid w:val="0012071F"/>
    <w:rsid w:val="00125160"/>
    <w:rsid w:val="00127FDB"/>
    <w:rsid w:val="00133128"/>
    <w:rsid w:val="001369DF"/>
    <w:rsid w:val="001650C4"/>
    <w:rsid w:val="001901F1"/>
    <w:rsid w:val="00190244"/>
    <w:rsid w:val="001B503A"/>
    <w:rsid w:val="001C65A2"/>
    <w:rsid w:val="001D35EA"/>
    <w:rsid w:val="002615AD"/>
    <w:rsid w:val="0027101A"/>
    <w:rsid w:val="002A1D6B"/>
    <w:rsid w:val="002B44DD"/>
    <w:rsid w:val="002C4C39"/>
    <w:rsid w:val="002D0C1D"/>
    <w:rsid w:val="002E7201"/>
    <w:rsid w:val="002F3115"/>
    <w:rsid w:val="00304926"/>
    <w:rsid w:val="00306EC5"/>
    <w:rsid w:val="00325564"/>
    <w:rsid w:val="0034794B"/>
    <w:rsid w:val="00351A2B"/>
    <w:rsid w:val="0037008A"/>
    <w:rsid w:val="0037114E"/>
    <w:rsid w:val="00384EE7"/>
    <w:rsid w:val="003900C4"/>
    <w:rsid w:val="00397807"/>
    <w:rsid w:val="003A59F5"/>
    <w:rsid w:val="003A60C7"/>
    <w:rsid w:val="003D3BA3"/>
    <w:rsid w:val="003D3D87"/>
    <w:rsid w:val="003E32F4"/>
    <w:rsid w:val="00401C86"/>
    <w:rsid w:val="00402EFE"/>
    <w:rsid w:val="0040436D"/>
    <w:rsid w:val="00412AED"/>
    <w:rsid w:val="00422FD6"/>
    <w:rsid w:val="00453DB3"/>
    <w:rsid w:val="00477541"/>
    <w:rsid w:val="0048283A"/>
    <w:rsid w:val="004A49B2"/>
    <w:rsid w:val="004A49FE"/>
    <w:rsid w:val="004D41F0"/>
    <w:rsid w:val="004F5F2D"/>
    <w:rsid w:val="00502604"/>
    <w:rsid w:val="0051571F"/>
    <w:rsid w:val="00566D7D"/>
    <w:rsid w:val="00573639"/>
    <w:rsid w:val="0057442E"/>
    <w:rsid w:val="00593F54"/>
    <w:rsid w:val="005A009A"/>
    <w:rsid w:val="005A27D0"/>
    <w:rsid w:val="005C13A0"/>
    <w:rsid w:val="006030AB"/>
    <w:rsid w:val="00643D44"/>
    <w:rsid w:val="00680AFC"/>
    <w:rsid w:val="00683500"/>
    <w:rsid w:val="006923E5"/>
    <w:rsid w:val="006A4E60"/>
    <w:rsid w:val="006D4899"/>
    <w:rsid w:val="006F3936"/>
    <w:rsid w:val="00720F23"/>
    <w:rsid w:val="007847BA"/>
    <w:rsid w:val="007A12D5"/>
    <w:rsid w:val="007D1A5B"/>
    <w:rsid w:val="007D5ECC"/>
    <w:rsid w:val="007F507E"/>
    <w:rsid w:val="00806B5A"/>
    <w:rsid w:val="00823149"/>
    <w:rsid w:val="00841771"/>
    <w:rsid w:val="00844351"/>
    <w:rsid w:val="00864CE6"/>
    <w:rsid w:val="008831BB"/>
    <w:rsid w:val="008C0B0A"/>
    <w:rsid w:val="008E7648"/>
    <w:rsid w:val="008F1307"/>
    <w:rsid w:val="009116F2"/>
    <w:rsid w:val="0091215D"/>
    <w:rsid w:val="00912B0A"/>
    <w:rsid w:val="00923A3E"/>
    <w:rsid w:val="00923C7D"/>
    <w:rsid w:val="009336E8"/>
    <w:rsid w:val="00942381"/>
    <w:rsid w:val="00952993"/>
    <w:rsid w:val="009622CF"/>
    <w:rsid w:val="009628A9"/>
    <w:rsid w:val="00967432"/>
    <w:rsid w:val="009B0CF6"/>
    <w:rsid w:val="00A33D1F"/>
    <w:rsid w:val="00A37020"/>
    <w:rsid w:val="00A376AA"/>
    <w:rsid w:val="00A41A23"/>
    <w:rsid w:val="00A55316"/>
    <w:rsid w:val="00A6103F"/>
    <w:rsid w:val="00A66CE3"/>
    <w:rsid w:val="00A75123"/>
    <w:rsid w:val="00A864FB"/>
    <w:rsid w:val="00AB5DC3"/>
    <w:rsid w:val="00AC21F5"/>
    <w:rsid w:val="00AC4DFA"/>
    <w:rsid w:val="00AD338E"/>
    <w:rsid w:val="00AE1AE7"/>
    <w:rsid w:val="00AE556E"/>
    <w:rsid w:val="00AE5803"/>
    <w:rsid w:val="00AF3F16"/>
    <w:rsid w:val="00AF76ED"/>
    <w:rsid w:val="00B024D3"/>
    <w:rsid w:val="00B31790"/>
    <w:rsid w:val="00B369AA"/>
    <w:rsid w:val="00B47153"/>
    <w:rsid w:val="00B61B64"/>
    <w:rsid w:val="00B9655E"/>
    <w:rsid w:val="00B9731A"/>
    <w:rsid w:val="00B97F0E"/>
    <w:rsid w:val="00BB0424"/>
    <w:rsid w:val="00BC79F7"/>
    <w:rsid w:val="00BD025C"/>
    <w:rsid w:val="00BD1CC1"/>
    <w:rsid w:val="00BF61B6"/>
    <w:rsid w:val="00BF6FD3"/>
    <w:rsid w:val="00C07832"/>
    <w:rsid w:val="00C104FE"/>
    <w:rsid w:val="00C752C8"/>
    <w:rsid w:val="00C8167A"/>
    <w:rsid w:val="00CA3176"/>
    <w:rsid w:val="00CA6A76"/>
    <w:rsid w:val="00CF54C6"/>
    <w:rsid w:val="00D06CF7"/>
    <w:rsid w:val="00D10CEC"/>
    <w:rsid w:val="00D349EB"/>
    <w:rsid w:val="00D4207A"/>
    <w:rsid w:val="00D434B2"/>
    <w:rsid w:val="00D45B6C"/>
    <w:rsid w:val="00D818EE"/>
    <w:rsid w:val="00D822AA"/>
    <w:rsid w:val="00DA31F2"/>
    <w:rsid w:val="00DA3AA7"/>
    <w:rsid w:val="00DD08E5"/>
    <w:rsid w:val="00DE3263"/>
    <w:rsid w:val="00DE55B7"/>
    <w:rsid w:val="00DF22F6"/>
    <w:rsid w:val="00DF447B"/>
    <w:rsid w:val="00E0395F"/>
    <w:rsid w:val="00E10700"/>
    <w:rsid w:val="00E138F9"/>
    <w:rsid w:val="00E21690"/>
    <w:rsid w:val="00E246D8"/>
    <w:rsid w:val="00E33639"/>
    <w:rsid w:val="00E404B4"/>
    <w:rsid w:val="00E66EF3"/>
    <w:rsid w:val="00E70473"/>
    <w:rsid w:val="00E97968"/>
    <w:rsid w:val="00EA6D9A"/>
    <w:rsid w:val="00EB4F32"/>
    <w:rsid w:val="00EC27E0"/>
    <w:rsid w:val="00F15451"/>
    <w:rsid w:val="00F31610"/>
    <w:rsid w:val="00F32E23"/>
    <w:rsid w:val="00F551D3"/>
    <w:rsid w:val="00F70242"/>
    <w:rsid w:val="00F95BA1"/>
    <w:rsid w:val="00FB25E5"/>
    <w:rsid w:val="00FB2D14"/>
    <w:rsid w:val="00FC4B9F"/>
    <w:rsid w:val="00FD4AED"/>
    <w:rsid w:val="00FE654F"/>
    <w:rsid w:val="00FF4E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E6"/>
    <w:pPr>
      <w:spacing w:before="120" w:after="120"/>
      <w:jc w:val="both"/>
    </w:pPr>
    <w:rPr>
      <w:rFonts w:ascii="Avenir LT Std 35 Light" w:hAnsi="Avenir LT Std 35 Light"/>
    </w:rPr>
  </w:style>
  <w:style w:type="paragraph" w:styleId="Titre1">
    <w:name w:val="heading 1"/>
    <w:basedOn w:val="Normal"/>
    <w:next w:val="Normal"/>
    <w:link w:val="Titre1Car"/>
    <w:uiPriority w:val="9"/>
    <w:qFormat/>
    <w:rsid w:val="00F551D3"/>
    <w:pPr>
      <w:spacing w:line="240" w:lineRule="auto"/>
      <w:outlineLvl w:val="0"/>
    </w:pPr>
    <w:rPr>
      <w:rFonts w:ascii="Avenir LT Std 65 Medium" w:hAnsi="Avenir LT Std 65 Medium" w:cstheme="minorHAnsi"/>
      <w:color w:val="F59E3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unhideWhenUsed/>
    <w:rsid w:val="008831BB"/>
    <w:rPr>
      <w:color w:val="0563C1" w:themeColor="hyperlink"/>
      <w:u w:val="single"/>
    </w:rPr>
  </w:style>
  <w:style w:type="character" w:styleId="Mentionnonrsolue">
    <w:name w:val="Unresolved Mention"/>
    <w:basedOn w:val="Policepardfaut"/>
    <w:uiPriority w:val="99"/>
    <w:semiHidden/>
    <w:unhideWhenUsed/>
    <w:rsid w:val="008831BB"/>
    <w:rPr>
      <w:color w:val="605E5C"/>
      <w:shd w:val="clear" w:color="auto" w:fill="E1DFDD"/>
    </w:rPr>
  </w:style>
  <w:style w:type="character" w:styleId="Lienhypertextesuivivisit">
    <w:name w:val="FollowedHyperlink"/>
    <w:basedOn w:val="Policepardfaut"/>
    <w:uiPriority w:val="99"/>
    <w:semiHidden/>
    <w:unhideWhenUsed/>
    <w:rsid w:val="00FF4E9E"/>
    <w:rPr>
      <w:color w:val="954F72" w:themeColor="followedHyperlink"/>
      <w:u w:val="single"/>
    </w:rPr>
  </w:style>
  <w:style w:type="paragraph" w:styleId="Textedebulles">
    <w:name w:val="Balloon Text"/>
    <w:basedOn w:val="Normal"/>
    <w:link w:val="TextedebullesCar"/>
    <w:uiPriority w:val="99"/>
    <w:semiHidden/>
    <w:unhideWhenUsed/>
    <w:rsid w:val="009423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2381"/>
    <w:rPr>
      <w:rFonts w:ascii="Segoe UI" w:hAnsi="Segoe UI" w:cs="Segoe UI"/>
      <w:sz w:val="18"/>
      <w:szCs w:val="18"/>
    </w:rPr>
  </w:style>
  <w:style w:type="character" w:customStyle="1" w:styleId="Titre1Car">
    <w:name w:val="Titre 1 Car"/>
    <w:basedOn w:val="Policepardfaut"/>
    <w:link w:val="Titre1"/>
    <w:uiPriority w:val="9"/>
    <w:rsid w:val="00F551D3"/>
    <w:rPr>
      <w:rFonts w:ascii="Avenir LT Std 65 Medium" w:hAnsi="Avenir LT Std 65 Medium" w:cstheme="minorHAnsi"/>
      <w:color w:val="F59E33"/>
      <w:sz w:val="24"/>
      <w:szCs w:val="24"/>
    </w:rPr>
  </w:style>
  <w:style w:type="table" w:styleId="Grilledutableau">
    <w:name w:val="Table Grid"/>
    <w:basedOn w:val="TableauNormal"/>
    <w:uiPriority w:val="39"/>
    <w:rsid w:val="0048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41771"/>
    <w:rPr>
      <w:sz w:val="16"/>
      <w:szCs w:val="16"/>
    </w:rPr>
  </w:style>
  <w:style w:type="paragraph" w:styleId="Commentaire">
    <w:name w:val="annotation text"/>
    <w:basedOn w:val="Normal"/>
    <w:link w:val="CommentaireCar"/>
    <w:uiPriority w:val="99"/>
    <w:semiHidden/>
    <w:unhideWhenUsed/>
    <w:rsid w:val="00841771"/>
    <w:pPr>
      <w:spacing w:line="240" w:lineRule="auto"/>
    </w:pPr>
    <w:rPr>
      <w:sz w:val="20"/>
      <w:szCs w:val="20"/>
    </w:rPr>
  </w:style>
  <w:style w:type="character" w:customStyle="1" w:styleId="CommentaireCar">
    <w:name w:val="Commentaire Car"/>
    <w:basedOn w:val="Policepardfaut"/>
    <w:link w:val="Commentaire"/>
    <w:uiPriority w:val="99"/>
    <w:semiHidden/>
    <w:rsid w:val="00841771"/>
    <w:rPr>
      <w:rFonts w:ascii="Avenir LT Std 35 Light" w:hAnsi="Avenir LT Std 35 Light"/>
      <w:sz w:val="20"/>
      <w:szCs w:val="20"/>
    </w:rPr>
  </w:style>
  <w:style w:type="paragraph" w:styleId="Objetducommentaire">
    <w:name w:val="annotation subject"/>
    <w:basedOn w:val="Commentaire"/>
    <w:next w:val="Commentaire"/>
    <w:link w:val="ObjetducommentaireCar"/>
    <w:uiPriority w:val="99"/>
    <w:semiHidden/>
    <w:unhideWhenUsed/>
    <w:rsid w:val="00841771"/>
    <w:rPr>
      <w:b/>
      <w:bCs/>
    </w:rPr>
  </w:style>
  <w:style w:type="character" w:customStyle="1" w:styleId="ObjetducommentaireCar">
    <w:name w:val="Objet du commentaire Car"/>
    <w:basedOn w:val="CommentaireCar"/>
    <w:link w:val="Objetducommentaire"/>
    <w:uiPriority w:val="99"/>
    <w:semiHidden/>
    <w:rsid w:val="00841771"/>
    <w:rPr>
      <w:rFonts w:ascii="Avenir LT Std 35 Light" w:hAnsi="Avenir LT Std 35 Light"/>
      <w:b/>
      <w:bCs/>
      <w:sz w:val="20"/>
      <w:szCs w:val="20"/>
    </w:rPr>
  </w:style>
  <w:style w:type="paragraph" w:styleId="NormalWeb">
    <w:name w:val="Normal (Web)"/>
    <w:basedOn w:val="Normal"/>
    <w:uiPriority w:val="99"/>
    <w:semiHidden/>
    <w:unhideWhenUsed/>
    <w:rsid w:val="0051571F"/>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9023">
      <w:bodyDiv w:val="1"/>
      <w:marLeft w:val="0"/>
      <w:marRight w:val="0"/>
      <w:marTop w:val="0"/>
      <w:marBottom w:val="0"/>
      <w:divBdr>
        <w:top w:val="none" w:sz="0" w:space="0" w:color="auto"/>
        <w:left w:val="none" w:sz="0" w:space="0" w:color="auto"/>
        <w:bottom w:val="none" w:sz="0" w:space="0" w:color="auto"/>
        <w:right w:val="none" w:sz="0" w:space="0" w:color="auto"/>
      </w:divBdr>
    </w:div>
    <w:div w:id="591016030">
      <w:bodyDiv w:val="1"/>
      <w:marLeft w:val="0"/>
      <w:marRight w:val="0"/>
      <w:marTop w:val="0"/>
      <w:marBottom w:val="0"/>
      <w:divBdr>
        <w:top w:val="none" w:sz="0" w:space="0" w:color="auto"/>
        <w:left w:val="none" w:sz="0" w:space="0" w:color="auto"/>
        <w:bottom w:val="none" w:sz="0" w:space="0" w:color="auto"/>
        <w:right w:val="none" w:sz="0" w:space="0" w:color="auto"/>
      </w:divBdr>
      <w:divsChild>
        <w:div w:id="571737264">
          <w:marLeft w:val="0"/>
          <w:marRight w:val="0"/>
          <w:marTop w:val="0"/>
          <w:marBottom w:val="150"/>
          <w:divBdr>
            <w:top w:val="none" w:sz="0" w:space="0" w:color="auto"/>
            <w:left w:val="none" w:sz="0" w:space="0" w:color="auto"/>
            <w:bottom w:val="none" w:sz="0" w:space="0" w:color="auto"/>
            <w:right w:val="none" w:sz="0" w:space="0" w:color="auto"/>
          </w:divBdr>
          <w:divsChild>
            <w:div w:id="1880245490">
              <w:marLeft w:val="0"/>
              <w:marRight w:val="0"/>
              <w:marTop w:val="0"/>
              <w:marBottom w:val="0"/>
              <w:divBdr>
                <w:top w:val="none" w:sz="0" w:space="0" w:color="auto"/>
                <w:left w:val="none" w:sz="0" w:space="0" w:color="auto"/>
                <w:bottom w:val="none" w:sz="0" w:space="0" w:color="auto"/>
                <w:right w:val="none" w:sz="0" w:space="0" w:color="auto"/>
              </w:divBdr>
            </w:div>
          </w:divsChild>
        </w:div>
        <w:div w:id="1701399598">
          <w:marLeft w:val="0"/>
          <w:marRight w:val="0"/>
          <w:marTop w:val="0"/>
          <w:marBottom w:val="0"/>
          <w:divBdr>
            <w:top w:val="none" w:sz="0" w:space="0" w:color="auto"/>
            <w:left w:val="none" w:sz="0" w:space="0" w:color="auto"/>
            <w:bottom w:val="none" w:sz="0" w:space="0" w:color="auto"/>
            <w:right w:val="none" w:sz="0" w:space="0" w:color="auto"/>
          </w:divBdr>
        </w:div>
      </w:divsChild>
    </w:div>
    <w:div w:id="865294807">
      <w:bodyDiv w:val="1"/>
      <w:marLeft w:val="0"/>
      <w:marRight w:val="0"/>
      <w:marTop w:val="0"/>
      <w:marBottom w:val="0"/>
      <w:divBdr>
        <w:top w:val="none" w:sz="0" w:space="0" w:color="auto"/>
        <w:left w:val="none" w:sz="0" w:space="0" w:color="auto"/>
        <w:bottom w:val="none" w:sz="0" w:space="0" w:color="auto"/>
        <w:right w:val="none" w:sz="0" w:space="0" w:color="auto"/>
      </w:divBdr>
    </w:div>
    <w:div w:id="949706743">
      <w:bodyDiv w:val="1"/>
      <w:marLeft w:val="0"/>
      <w:marRight w:val="0"/>
      <w:marTop w:val="0"/>
      <w:marBottom w:val="0"/>
      <w:divBdr>
        <w:top w:val="none" w:sz="0" w:space="0" w:color="auto"/>
        <w:left w:val="none" w:sz="0" w:space="0" w:color="auto"/>
        <w:bottom w:val="none" w:sz="0" w:space="0" w:color="auto"/>
        <w:right w:val="none" w:sz="0" w:space="0" w:color="auto"/>
      </w:divBdr>
    </w:div>
    <w:div w:id="1526092775">
      <w:bodyDiv w:val="1"/>
      <w:marLeft w:val="0"/>
      <w:marRight w:val="0"/>
      <w:marTop w:val="0"/>
      <w:marBottom w:val="0"/>
      <w:divBdr>
        <w:top w:val="none" w:sz="0" w:space="0" w:color="auto"/>
        <w:left w:val="none" w:sz="0" w:space="0" w:color="auto"/>
        <w:bottom w:val="none" w:sz="0" w:space="0" w:color="auto"/>
        <w:right w:val="none" w:sz="0" w:space="0" w:color="auto"/>
      </w:divBdr>
      <w:divsChild>
        <w:div w:id="1484277152">
          <w:marLeft w:val="0"/>
          <w:marRight w:val="0"/>
          <w:marTop w:val="0"/>
          <w:marBottom w:val="150"/>
          <w:divBdr>
            <w:top w:val="none" w:sz="0" w:space="0" w:color="auto"/>
            <w:left w:val="none" w:sz="0" w:space="0" w:color="auto"/>
            <w:bottom w:val="none" w:sz="0" w:space="0" w:color="auto"/>
            <w:right w:val="none" w:sz="0" w:space="0" w:color="auto"/>
          </w:divBdr>
        </w:div>
        <w:div w:id="905646564">
          <w:marLeft w:val="0"/>
          <w:marRight w:val="0"/>
          <w:marTop w:val="0"/>
          <w:marBottom w:val="0"/>
          <w:divBdr>
            <w:top w:val="none" w:sz="0" w:space="0" w:color="auto"/>
            <w:left w:val="none" w:sz="0" w:space="0" w:color="auto"/>
            <w:bottom w:val="none" w:sz="0" w:space="0" w:color="auto"/>
            <w:right w:val="none" w:sz="0" w:space="0" w:color="auto"/>
          </w:divBdr>
        </w:div>
      </w:divsChild>
    </w:div>
    <w:div w:id="1764836488">
      <w:bodyDiv w:val="1"/>
      <w:marLeft w:val="0"/>
      <w:marRight w:val="0"/>
      <w:marTop w:val="0"/>
      <w:marBottom w:val="0"/>
      <w:divBdr>
        <w:top w:val="none" w:sz="0" w:space="0" w:color="auto"/>
        <w:left w:val="none" w:sz="0" w:space="0" w:color="auto"/>
        <w:bottom w:val="none" w:sz="0" w:space="0" w:color="auto"/>
        <w:right w:val="none" w:sz="0" w:space="0" w:color="auto"/>
      </w:divBdr>
      <w:divsChild>
        <w:div w:id="311371430">
          <w:marLeft w:val="0"/>
          <w:marRight w:val="0"/>
          <w:marTop w:val="0"/>
          <w:marBottom w:val="0"/>
          <w:divBdr>
            <w:top w:val="none" w:sz="0" w:space="0" w:color="auto"/>
            <w:left w:val="none" w:sz="0" w:space="0" w:color="auto"/>
            <w:bottom w:val="none" w:sz="0" w:space="0" w:color="auto"/>
            <w:right w:val="none" w:sz="0" w:space="0" w:color="auto"/>
          </w:divBdr>
        </w:div>
        <w:div w:id="566650273">
          <w:marLeft w:val="0"/>
          <w:marRight w:val="0"/>
          <w:marTop w:val="0"/>
          <w:marBottom w:val="0"/>
          <w:divBdr>
            <w:top w:val="none" w:sz="0" w:space="0" w:color="auto"/>
            <w:left w:val="none" w:sz="0" w:space="0" w:color="auto"/>
            <w:bottom w:val="none" w:sz="0" w:space="0" w:color="auto"/>
            <w:right w:val="none" w:sz="0" w:space="0" w:color="auto"/>
          </w:divBdr>
        </w:div>
      </w:divsChild>
    </w:div>
    <w:div w:id="1765683037">
      <w:bodyDiv w:val="1"/>
      <w:marLeft w:val="0"/>
      <w:marRight w:val="0"/>
      <w:marTop w:val="0"/>
      <w:marBottom w:val="0"/>
      <w:divBdr>
        <w:top w:val="none" w:sz="0" w:space="0" w:color="auto"/>
        <w:left w:val="none" w:sz="0" w:space="0" w:color="auto"/>
        <w:bottom w:val="none" w:sz="0" w:space="0" w:color="auto"/>
        <w:right w:val="none" w:sz="0" w:space="0" w:color="auto"/>
      </w:divBdr>
      <w:divsChild>
        <w:div w:id="1348368301">
          <w:marLeft w:val="0"/>
          <w:marRight w:val="0"/>
          <w:marTop w:val="0"/>
          <w:marBottom w:val="0"/>
          <w:divBdr>
            <w:top w:val="none" w:sz="0" w:space="0" w:color="auto"/>
            <w:left w:val="none" w:sz="0" w:space="0" w:color="auto"/>
            <w:bottom w:val="none" w:sz="0" w:space="0" w:color="auto"/>
            <w:right w:val="none" w:sz="0" w:space="0" w:color="auto"/>
          </w:divBdr>
        </w:div>
        <w:div w:id="1050377504">
          <w:marLeft w:val="0"/>
          <w:marRight w:val="0"/>
          <w:marTop w:val="0"/>
          <w:marBottom w:val="0"/>
          <w:divBdr>
            <w:top w:val="none" w:sz="0" w:space="0" w:color="auto"/>
            <w:left w:val="none" w:sz="0" w:space="0" w:color="auto"/>
            <w:bottom w:val="none" w:sz="0" w:space="0" w:color="auto"/>
            <w:right w:val="none" w:sz="0" w:space="0" w:color="auto"/>
          </w:divBdr>
          <w:divsChild>
            <w:div w:id="17037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1484">
      <w:bodyDiv w:val="1"/>
      <w:marLeft w:val="0"/>
      <w:marRight w:val="0"/>
      <w:marTop w:val="0"/>
      <w:marBottom w:val="0"/>
      <w:divBdr>
        <w:top w:val="none" w:sz="0" w:space="0" w:color="auto"/>
        <w:left w:val="none" w:sz="0" w:space="0" w:color="auto"/>
        <w:bottom w:val="none" w:sz="0" w:space="0" w:color="auto"/>
        <w:right w:val="none" w:sz="0" w:space="0" w:color="auto"/>
      </w:divBdr>
      <w:divsChild>
        <w:div w:id="381828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3B497F7-97B6-467D-BF54-554E16532EF5" TargetMode="External"/><Relationship Id="rId13" Type="http://schemas.openxmlformats.org/officeDocument/2006/relationships/hyperlink" Target="https://www.legifrance.gouv.fr/jorf/id/JORFTEXT000043289944" TargetMode="External"/><Relationship Id="rId18" Type="http://schemas.openxmlformats.org/officeDocument/2006/relationships/hyperlink" Target="https://www.cpme.fr/sites/default/files/2020-10/201007_annulation%20de%20charge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securite-sociale.fr/files/live/sites/SSFR/files/medias/DSS/2021/DSS_Instruction%20interM-modalite-application-mesures-cotisetcontribsoc-ent_TI_artauteurs_covid.pdf" TargetMode="External"/><Relationship Id="rId17" Type="http://schemas.openxmlformats.org/officeDocument/2006/relationships/hyperlink" Target="https://www.legifrance.gouv.fr/loda/id/JORFTEXT000041768315/2021-01-01/" TargetMode="External"/><Relationship Id="rId2" Type="http://schemas.openxmlformats.org/officeDocument/2006/relationships/styles" Target="styles.xml"/><Relationship Id="rId16" Type="http://schemas.openxmlformats.org/officeDocument/2006/relationships/hyperlink" Target="https://www.legifrance.gouv.fr/loda/id/JORFTEXT000041768315/2021-01-0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jorf/id/JORFTEXT000043070140" TargetMode="External"/><Relationship Id="rId5" Type="http://schemas.openxmlformats.org/officeDocument/2006/relationships/footnotes" Target="footnotes.xml"/><Relationship Id="rId15" Type="http://schemas.openxmlformats.org/officeDocument/2006/relationships/hyperlink" Target="https://www.legifrance.gouv.fr/jorf/id/JORFTEXT000043596791" TargetMode="External"/><Relationship Id="rId10" Type="http://schemas.openxmlformats.org/officeDocument/2006/relationships/hyperlink" Target="https://www.legifrance.gouv.fr/affichTexte.do?cidTexte=JORFTEXT000042176557&amp;dateTexte=&amp;categorieLien=id" TargetMode="External"/><Relationship Id="rId19" Type="http://schemas.openxmlformats.org/officeDocument/2006/relationships/hyperlink" Target="https://www.urssaf.fr/portail/home/employeur/declarer-et-payer/obtenir-une-attestation/attestation-de-vigilance.html" TargetMode="External"/><Relationship Id="rId4" Type="http://schemas.openxmlformats.org/officeDocument/2006/relationships/webSettings" Target="webSettings.xml"/><Relationship Id="rId9" Type="http://schemas.openxmlformats.org/officeDocument/2006/relationships/hyperlink" Target="https://www.legifrance.gouv.fr/jorf/id/JORFTEXT000042665307" TargetMode="External"/><Relationship Id="rId14" Type="http://schemas.openxmlformats.org/officeDocument/2006/relationships/hyperlink" Target="https://www.legifrance.gouv.fr/jorf/id/JORFTEXT000043353231"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3290</Words>
  <Characters>18098</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Manon Ledez</cp:lastModifiedBy>
  <cp:revision>5</cp:revision>
  <cp:lastPrinted>2020-01-16T13:22:00Z</cp:lastPrinted>
  <dcterms:created xsi:type="dcterms:W3CDTF">2021-06-04T07:19:00Z</dcterms:created>
  <dcterms:modified xsi:type="dcterms:W3CDTF">2021-06-04T08:04:00Z</dcterms:modified>
</cp:coreProperties>
</file>